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r>
        <w:rPr>
          <w:rFonts w:hint="eastAsia" w:ascii="黑体" w:hAnsi="黑体" w:eastAsia="黑体"/>
          <w:b/>
          <w:sz w:val="44"/>
          <w:szCs w:val="44"/>
        </w:rPr>
        <w:t>兴银理财【</w:t>
      </w:r>
      <w:r>
        <w:rPr>
          <w:rStyle w:val="12"/>
          <w:rFonts w:hint="eastAsia" w:ascii="黑体" w:hAnsi="黑体" w:eastAsia="黑体" w:cs="宋体"/>
          <w:sz w:val="44"/>
          <w:szCs w:val="44"/>
        </w:rPr>
        <w:t>天天万利宝稳利净值型</w:t>
      </w:r>
      <w:r>
        <w:rPr>
          <w:rFonts w:hint="eastAsia" w:ascii="黑体" w:hAnsi="黑体" w:eastAsia="黑体"/>
          <w:b/>
          <w:sz w:val="44"/>
          <w:szCs w:val="44"/>
        </w:rPr>
        <w:t>】理财产品</w:t>
      </w:r>
    </w:p>
    <w:p>
      <w:pPr>
        <w:widowControl/>
        <w:spacing w:line="360" w:lineRule="auto"/>
        <w:jc w:val="center"/>
        <w:rPr>
          <w:b/>
          <w:szCs w:val="21"/>
        </w:rPr>
      </w:pPr>
      <w:r>
        <w:rPr>
          <w:rFonts w:hint="eastAsia" w:ascii="黑体" w:hAnsi="黑体" w:eastAsia="黑体"/>
          <w:b/>
          <w:sz w:val="44"/>
          <w:szCs w:val="44"/>
        </w:rPr>
        <w:t>销售文件</w:t>
      </w:r>
    </w:p>
    <w:tbl>
      <w:tblPr>
        <w:tblStyle w:val="10"/>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6"/>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16"/>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16"/>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6"/>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r>
              <w:rPr>
                <w:rFonts w:hint="eastAsia" w:ascii="宋体" w:hAnsi="宋体"/>
                <w:kern w:val="0"/>
                <w:sz w:val="20"/>
                <w:szCs w:val="21"/>
              </w:rPr>
              <w:t>兴银理财【天天万利宝稳利净值型】理财产品投资协议书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16"/>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r>
              <w:rPr>
                <w:rFonts w:hint="eastAsia" w:ascii="宋体" w:hAnsi="宋体"/>
                <w:kern w:val="0"/>
                <w:sz w:val="20"/>
                <w:szCs w:val="21"/>
              </w:rPr>
              <w:t>兴银理财【天天万利宝稳利净值型】理财产品产品说明书</w:t>
            </w:r>
          </w:p>
        </w:tc>
        <w:tc>
          <w:tcPr>
            <w:tcW w:w="2107" w:type="dxa"/>
          </w:tcPr>
          <w:p>
            <w:pPr>
              <w:pStyle w:val="16"/>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6"/>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3</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兴银理财【天天万利宝稳利净值型】理财产品（代理）销售协议书</w:t>
            </w:r>
          </w:p>
        </w:tc>
        <w:tc>
          <w:tcPr>
            <w:tcW w:w="2107" w:type="dxa"/>
          </w:tcPr>
          <w:p>
            <w:pPr>
              <w:pStyle w:val="16"/>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6"/>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r>
              <w:rPr>
                <w:rFonts w:hint="eastAsia" w:ascii="宋体" w:hAnsi="宋体"/>
                <w:kern w:val="0"/>
                <w:sz w:val="20"/>
                <w:szCs w:val="21"/>
              </w:rPr>
              <w:t>兴银理财【天天万利宝稳利净值型】理财产品风险揭示书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16"/>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兴银理财【天天万利宝稳利净值型】理财产品投资者权益须知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16"/>
        <w:widowControl/>
        <w:snapToGrid w:val="0"/>
        <w:spacing w:line="360" w:lineRule="auto"/>
        <w:rPr>
          <w:rFonts w:ascii="黑体" w:hAnsi="黑体" w:eastAsia="黑体"/>
          <w:kern w:val="0"/>
          <w:szCs w:val="21"/>
        </w:rPr>
      </w:pPr>
      <w:r>
        <w:rPr>
          <w:rFonts w:hint="eastAsia" w:ascii="黑体" w:hAnsi="黑体" w:eastAsia="黑体"/>
          <w:kern w:val="0"/>
          <w:szCs w:val="21"/>
        </w:rPr>
        <w:t>1.销售文件的组成和编制的提示</w:t>
      </w:r>
    </w:p>
    <w:p>
      <w:pPr>
        <w:pStyle w:val="16"/>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16"/>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w:t>
      </w:r>
      <w:r>
        <w:rPr>
          <w:rFonts w:hint="eastAsia" w:ascii="黑体" w:hAnsi="黑体" w:eastAsia="黑体"/>
          <w:kern w:val="0"/>
          <w:szCs w:val="21"/>
        </w:rPr>
        <w:t>2</w:t>
      </w:r>
      <w:r>
        <w:rPr>
          <w:rFonts w:ascii="黑体" w:hAnsi="黑体" w:eastAsia="黑体"/>
          <w:kern w:val="0"/>
          <w:szCs w:val="21"/>
        </w:rPr>
        <w:t>021年第</w:t>
      </w:r>
      <w:r>
        <w:rPr>
          <w:rFonts w:hint="eastAsia" w:ascii="黑体" w:hAnsi="黑体" w:eastAsia="黑体"/>
          <w:kern w:val="0"/>
          <w:szCs w:val="21"/>
        </w:rPr>
        <w:t>4号）第2</w:t>
      </w:r>
      <w:r>
        <w:rPr>
          <w:rFonts w:ascii="黑体" w:hAnsi="黑体" w:eastAsia="黑体"/>
          <w:kern w:val="0"/>
          <w:szCs w:val="21"/>
        </w:rPr>
        <w:t>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16"/>
        <w:widowControl/>
        <w:snapToGrid w:val="0"/>
        <w:spacing w:line="360" w:lineRule="auto"/>
        <w:rPr>
          <w:rFonts w:ascii="黑体" w:hAnsi="黑体" w:eastAsia="黑体"/>
          <w:kern w:val="0"/>
          <w:szCs w:val="21"/>
        </w:rPr>
      </w:pPr>
      <w:r>
        <w:rPr>
          <w:rFonts w:hint="eastAsia" w:ascii="黑体" w:hAnsi="黑体" w:eastAsia="黑体"/>
          <w:kern w:val="0"/>
          <w:szCs w:val="21"/>
        </w:rPr>
        <w:t>2.投资者适当性的提示</w:t>
      </w:r>
    </w:p>
    <w:p>
      <w:pPr>
        <w:pStyle w:val="16"/>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16"/>
        <w:widowControl/>
        <w:snapToGrid w:val="0"/>
        <w:spacing w:line="360" w:lineRule="auto"/>
        <w:rPr>
          <w:rFonts w:ascii="黑体" w:hAnsi="黑体" w:eastAsia="黑体"/>
          <w:kern w:val="0"/>
          <w:szCs w:val="21"/>
        </w:rPr>
      </w:pPr>
      <w:r>
        <w:rPr>
          <w:rFonts w:ascii="黑体" w:hAnsi="黑体" w:eastAsia="黑体"/>
          <w:kern w:val="0"/>
          <w:szCs w:val="21"/>
        </w:rPr>
        <w:t>3</w:t>
      </w:r>
      <w:r>
        <w:rPr>
          <w:rFonts w:hint="eastAsia" w:ascii="黑体" w:hAnsi="黑体" w:eastAsia="黑体"/>
          <w:kern w:val="0"/>
          <w:szCs w:val="21"/>
        </w:rPr>
        <w:t>.</w:t>
      </w:r>
      <w:r>
        <w:rPr>
          <w:rFonts w:ascii="黑体" w:hAnsi="黑体" w:eastAsia="黑体"/>
          <w:kern w:val="0"/>
          <w:szCs w:val="21"/>
        </w:rPr>
        <w:t>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rPr>
          <w:rFonts w:ascii="黑体" w:hAnsi="黑体" w:eastAsia="黑体"/>
          <w:kern w:val="0"/>
          <w:szCs w:val="21"/>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567" w:footer="964" w:gutter="0"/>
          <w:pgNumType w:fmt="decimal"/>
          <w:cols w:space="720" w:num="1"/>
          <w:titlePg/>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12"/>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12"/>
          <w:rFonts w:ascii="黑体" w:hAnsi="黑体" w:eastAsia="黑体" w:cs="宋体"/>
          <w:sz w:val="44"/>
          <w:szCs w:val="44"/>
        </w:rPr>
      </w:pPr>
      <w:r>
        <w:rPr>
          <w:rStyle w:val="12"/>
          <w:rFonts w:hint="eastAsia" w:ascii="黑体" w:hAnsi="黑体" w:eastAsia="黑体" w:cs="宋体"/>
          <w:sz w:val="44"/>
          <w:szCs w:val="44"/>
        </w:rPr>
        <w:t>兴银理财【天天万利宝稳利净值型】理财产品</w:t>
      </w:r>
    </w:p>
    <w:p>
      <w:pPr>
        <w:adjustRightInd w:val="0"/>
        <w:spacing w:line="360" w:lineRule="auto"/>
        <w:jc w:val="center"/>
        <w:rPr>
          <w:rStyle w:val="12"/>
          <w:rFonts w:ascii="黑体" w:hAnsi="黑体" w:eastAsia="黑体" w:cs="宋体"/>
          <w:sz w:val="44"/>
          <w:szCs w:val="44"/>
        </w:rPr>
      </w:pPr>
      <w:r>
        <w:rPr>
          <w:rStyle w:val="12"/>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12"/>
          <w:rFonts w:ascii="宋体" w:hAnsi="宋体"/>
          <w:sz w:val="28"/>
          <w:szCs w:val="28"/>
        </w:rPr>
      </w:pPr>
      <w:bookmarkStart w:id="0" w:name="_Toc139991726"/>
      <w:bookmarkStart w:id="1" w:name="_Toc139992301"/>
      <w:bookmarkStart w:id="2" w:name="_Toc123701383"/>
      <w:bookmarkStart w:id="3" w:name="_Toc123112224"/>
      <w:bookmarkStart w:id="4" w:name="_Toc123112263"/>
      <w:r>
        <w:rPr>
          <w:rStyle w:val="12"/>
          <w:rFonts w:hint="eastAsia" w:ascii="宋体" w:hAnsi="宋体"/>
          <w:sz w:val="28"/>
          <w:szCs w:val="28"/>
        </w:rPr>
        <w:t>理财产品管理人：</w:t>
      </w:r>
      <w:bookmarkEnd w:id="0"/>
      <w:bookmarkEnd w:id="1"/>
      <w:bookmarkEnd w:id="2"/>
      <w:bookmarkEnd w:id="3"/>
      <w:bookmarkEnd w:id="4"/>
      <w:r>
        <w:rPr>
          <w:rStyle w:val="12"/>
          <w:rFonts w:hint="eastAsia" w:ascii="宋体" w:hAnsi="宋体"/>
          <w:sz w:val="28"/>
          <w:szCs w:val="28"/>
        </w:rPr>
        <w:t>兴银理财有限责任公司</w:t>
      </w:r>
    </w:p>
    <w:p>
      <w:pPr>
        <w:adjustRightInd w:val="0"/>
        <w:spacing w:line="360" w:lineRule="auto"/>
        <w:jc w:val="center"/>
        <w:rPr>
          <w:rStyle w:val="12"/>
          <w:rFonts w:ascii="黑体" w:hAnsi="黑体" w:eastAsia="黑体" w:cs="宋体"/>
          <w:sz w:val="28"/>
          <w:szCs w:val="28"/>
        </w:rPr>
      </w:pPr>
      <w:bookmarkStart w:id="5" w:name="_Toc139991727"/>
      <w:bookmarkStart w:id="6" w:name="_Toc139992302"/>
      <w:bookmarkStart w:id="7" w:name="_Toc123112264"/>
      <w:bookmarkStart w:id="8" w:name="_Toc123701384"/>
      <w:bookmarkStart w:id="9" w:name="_Toc123112225"/>
    </w:p>
    <w:bookmarkEnd w:id="5"/>
    <w:bookmarkEnd w:id="6"/>
    <w:bookmarkEnd w:id="7"/>
    <w:bookmarkEnd w:id="8"/>
    <w:bookmarkEnd w:id="9"/>
    <w:p>
      <w:pPr>
        <w:adjustRightInd w:val="0"/>
        <w:spacing w:line="360" w:lineRule="auto"/>
        <w:jc w:val="center"/>
        <w:rPr>
          <w:rStyle w:val="12"/>
          <w:rFonts w:ascii="黑体" w:hAnsi="黑体" w:eastAsia="黑体" w:cs="宋体"/>
          <w:sz w:val="28"/>
          <w:szCs w:val="28"/>
        </w:rPr>
      </w:pPr>
    </w:p>
    <w:p>
      <w:pPr>
        <w:adjustRightInd w:val="0"/>
        <w:spacing w:line="360" w:lineRule="auto"/>
        <w:jc w:val="center"/>
        <w:rPr>
          <w:rStyle w:val="12"/>
          <w:rFonts w:ascii="宋体" w:hAnsi="宋体"/>
          <w:sz w:val="28"/>
          <w:szCs w:val="28"/>
        </w:rPr>
      </w:pPr>
      <w:r>
        <w:rPr>
          <w:rStyle w:val="12"/>
          <w:rFonts w:hint="eastAsia" w:ascii="宋体" w:hAnsi="宋体"/>
          <w:sz w:val="28"/>
          <w:szCs w:val="28"/>
        </w:rPr>
        <w:t>日期</w:t>
      </w:r>
      <w:r>
        <w:rPr>
          <w:rStyle w:val="12"/>
          <w:rFonts w:ascii="宋体" w:hAnsi="宋体"/>
          <w:sz w:val="28"/>
          <w:szCs w:val="28"/>
        </w:rPr>
        <w:t>：</w:t>
      </w:r>
      <w:r>
        <w:rPr>
          <w:rStyle w:val="12"/>
          <w:rFonts w:hint="eastAsia" w:ascii="宋体" w:hAnsi="宋体"/>
          <w:sz w:val="28"/>
          <w:szCs w:val="28"/>
        </w:rPr>
        <w:t>【2024】年【</w:t>
      </w:r>
      <w:r>
        <w:rPr>
          <w:rStyle w:val="12"/>
          <w:rFonts w:ascii="宋体" w:hAnsi="宋体"/>
          <w:sz w:val="28"/>
          <w:szCs w:val="28"/>
        </w:rPr>
        <w:t>10</w:t>
      </w:r>
      <w:r>
        <w:rPr>
          <w:rStyle w:val="12"/>
          <w:rFonts w:hint="eastAsia" w:ascii="宋体" w:hAnsi="宋体"/>
          <w:sz w:val="28"/>
          <w:szCs w:val="28"/>
        </w:rPr>
        <w:t>】月</w:t>
      </w:r>
    </w:p>
    <w:p>
      <w:pPr>
        <w:tabs>
          <w:tab w:val="left" w:pos="8070"/>
          <w:tab w:val="right" w:pos="8306"/>
        </w:tabs>
        <w:autoSpaceDE w:val="0"/>
        <w:autoSpaceDN w:val="0"/>
        <w:adjustRightInd w:val="0"/>
        <w:snapToGrid w:val="0"/>
        <w:spacing w:before="156" w:beforeLines="50" w:line="360" w:lineRule="auto"/>
        <w:rPr>
          <w:rFonts w:hint="eastAsia" w:eastAsia="宋体"/>
          <w:bCs/>
          <w:sz w:val="32"/>
          <w:lang w:eastAsia="zh-CN"/>
        </w:rPr>
      </w:pPr>
    </w:p>
    <w:tbl>
      <w:tblPr>
        <w:tblStyle w:val="10"/>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关于理财产品与存款产品的提示</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8"/>
              <w:snapToGrid w:val="0"/>
              <w:spacing w:before="0" w:beforeAutospacing="0" w:after="0" w:afterAutospacing="0" w:line="360" w:lineRule="auto"/>
              <w:jc w:val="both"/>
              <w:rPr>
                <w:rFonts w:ascii="黑体" w:hAnsi="黑体" w:eastAsia="黑体"/>
                <w:bCs/>
                <w:sz w:val="18"/>
                <w:szCs w:val="18"/>
              </w:rPr>
            </w:pP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理财产品过往业绩不代表其未来表现，不等于理财产品实际受益，投资须谨慎。</w:t>
            </w:r>
          </w:p>
          <w:p>
            <w:pPr>
              <w:pStyle w:val="8"/>
              <w:snapToGrid w:val="0"/>
              <w:spacing w:before="0" w:beforeAutospacing="0" w:after="0" w:afterAutospacing="0" w:line="360" w:lineRule="auto"/>
              <w:jc w:val="both"/>
              <w:rPr>
                <w:rFonts w:ascii="黑体" w:hAnsi="黑体" w:eastAsia="黑体"/>
                <w:bCs/>
                <w:sz w:val="18"/>
                <w:szCs w:val="18"/>
              </w:rPr>
            </w:pPr>
          </w:p>
          <w:p>
            <w:pPr>
              <w:pStyle w:val="8"/>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8"/>
              <w:snapToGrid w:val="0"/>
              <w:spacing w:before="0" w:beforeAutospacing="0" w:after="0" w:afterAutospacing="0" w:line="360" w:lineRule="auto"/>
              <w:jc w:val="both"/>
              <w:rPr>
                <w:rFonts w:ascii="黑体" w:hAnsi="黑体" w:eastAsia="黑体"/>
                <w:bCs/>
                <w:sz w:val="18"/>
                <w:szCs w:val="18"/>
              </w:rPr>
            </w:pP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关于理财产品不保证本金和收益的提示</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8"/>
              <w:snapToGrid w:val="0"/>
              <w:spacing w:before="0" w:beforeAutospacing="0" w:after="0" w:afterAutospacing="0" w:line="360" w:lineRule="auto"/>
              <w:jc w:val="both"/>
              <w:rPr>
                <w:rFonts w:ascii="黑体" w:hAnsi="黑体" w:eastAsia="黑体"/>
                <w:bCs/>
                <w:sz w:val="18"/>
                <w:szCs w:val="18"/>
              </w:rPr>
            </w:pP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关于销售文件的组成和编制的提示</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1、销售文件的组成</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2、销售文件的编制</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w:t>
            </w:r>
            <w:r>
              <w:rPr>
                <w:rFonts w:hint="eastAsia" w:ascii="黑体" w:hAnsi="黑体" w:eastAsia="黑体"/>
                <w:bCs/>
                <w:sz w:val="18"/>
                <w:szCs w:val="18"/>
              </w:rPr>
              <w:t>2</w:t>
            </w:r>
            <w:r>
              <w:rPr>
                <w:rFonts w:ascii="黑体" w:hAnsi="黑体" w:eastAsia="黑体"/>
                <w:bCs/>
                <w:sz w:val="18"/>
                <w:szCs w:val="18"/>
              </w:rPr>
              <w:t>021年第</w:t>
            </w:r>
            <w:r>
              <w:rPr>
                <w:rFonts w:hint="eastAsia" w:ascii="黑体" w:hAnsi="黑体" w:eastAsia="黑体"/>
                <w:bCs/>
                <w:sz w:val="18"/>
                <w:szCs w:val="18"/>
              </w:rPr>
              <w:t>4号）第2</w:t>
            </w:r>
            <w:r>
              <w:rPr>
                <w:rFonts w:ascii="黑体" w:hAnsi="黑体" w:eastAsia="黑体"/>
                <w:bCs/>
                <w:sz w:val="18"/>
                <w:szCs w:val="18"/>
              </w:rPr>
              <w:t>9条规定</w:t>
            </w:r>
            <w:r>
              <w:rPr>
                <w:rFonts w:hint="eastAsia" w:ascii="黑体" w:hAnsi="黑体" w:eastAsia="黑体"/>
                <w:bCs/>
                <w:sz w:val="18"/>
                <w:szCs w:val="18"/>
              </w:rPr>
              <w:t>，本款产品销售文件在编制时，可能存在以下两种情形：</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（1）情形1：所有销售文件都由产品管理人统一编制。其中，《投资协议书》、《产品说明书》、《（代理）销售协议书》、《风险揭示书》、《投资者权益须知》等销售文件均由产品管理人统一编制。</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8"/>
              <w:snapToGrid w:val="0"/>
              <w:spacing w:before="0" w:beforeAutospacing="0" w:after="0" w:afterAutospacing="0" w:line="360" w:lineRule="auto"/>
              <w:jc w:val="both"/>
              <w:rPr>
                <w:rFonts w:ascii="黑体" w:hAnsi="黑体" w:eastAsia="黑体"/>
                <w:bCs/>
                <w:sz w:val="18"/>
                <w:szCs w:val="18"/>
              </w:rPr>
            </w:pP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关于投资者适当性的提示</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8"/>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8"/>
              <w:snapToGrid w:val="0"/>
              <w:spacing w:before="0" w:beforeAutospacing="0" w:after="0" w:afterAutospacing="0"/>
              <w:jc w:val="both"/>
              <w:rPr>
                <w:rFonts w:ascii="黑体" w:hAnsi="黑体" w:eastAsia="黑体"/>
                <w:bCs/>
                <w:sz w:val="18"/>
                <w:szCs w:val="18"/>
              </w:rPr>
            </w:pPr>
          </w:p>
          <w:p>
            <w:pPr>
              <w:pStyle w:val="8"/>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112266"/>
      <w:bookmarkStart w:id="11" w:name="_Toc139991729"/>
      <w:bookmarkStart w:id="12" w:name="_Toc123701386"/>
      <w:bookmarkStart w:id="13" w:name="_Toc123112227"/>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9"/>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个人投资者适用</w:t>
            </w: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姓名</w:t>
            </w:r>
          </w:p>
        </w:tc>
        <w:tc>
          <w:tcPr>
            <w:tcW w:w="6389" w:type="dxa"/>
            <w:gridSpan w:val="3"/>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证件类型</w:t>
            </w:r>
          </w:p>
        </w:tc>
        <w:tc>
          <w:tcPr>
            <w:tcW w:w="1854" w:type="dxa"/>
            <w:shd w:val="solid" w:color="FFFFFF" w:fill="FFFFFF"/>
            <w:vAlign w:val="center"/>
          </w:tcPr>
          <w:p>
            <w:pPr>
              <w:spacing w:line="360" w:lineRule="auto"/>
              <w:jc w:val="left"/>
              <w:rPr>
                <w:rFonts w:ascii="宋体" w:hAnsi="宋体"/>
                <w:b/>
                <w:bCs/>
                <w:sz w:val="18"/>
                <w:szCs w:val="18"/>
              </w:rPr>
            </w:pPr>
          </w:p>
        </w:tc>
        <w:tc>
          <w:tcPr>
            <w:tcW w:w="1417"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证件号码</w:t>
            </w:r>
          </w:p>
        </w:tc>
        <w:tc>
          <w:tcPr>
            <w:tcW w:w="3118" w:type="dxa"/>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联系电话</w:t>
            </w:r>
          </w:p>
        </w:tc>
        <w:tc>
          <w:tcPr>
            <w:tcW w:w="1854" w:type="dxa"/>
            <w:shd w:val="solid" w:color="FFFFFF" w:fill="FFFFFF"/>
            <w:vAlign w:val="center"/>
          </w:tcPr>
          <w:p>
            <w:pPr>
              <w:spacing w:line="360" w:lineRule="auto"/>
              <w:jc w:val="left"/>
              <w:rPr>
                <w:rFonts w:ascii="宋体" w:hAnsi="宋体"/>
                <w:b/>
                <w:bCs/>
                <w:sz w:val="18"/>
                <w:szCs w:val="18"/>
              </w:rPr>
            </w:pPr>
          </w:p>
        </w:tc>
        <w:tc>
          <w:tcPr>
            <w:tcW w:w="1417"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电子邮箱</w:t>
            </w:r>
          </w:p>
        </w:tc>
        <w:tc>
          <w:tcPr>
            <w:tcW w:w="3118" w:type="dxa"/>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联系地址</w:t>
            </w:r>
          </w:p>
        </w:tc>
        <w:tc>
          <w:tcPr>
            <w:tcW w:w="6389" w:type="dxa"/>
            <w:gridSpan w:val="3"/>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w:t>
            </w:r>
            <w:r>
              <w:rPr>
                <w:rFonts w:ascii="宋体" w:hAnsi="宋体"/>
                <w:b/>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本公司系根据原中国银保监会（现国家金融监督管理总局）批准设立的由兴业银行股份有限公司全资控股的银行理财子公司。公司名称：中文为“兴银理财有限责任公司”；英文：“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理财产品信息</w:t>
            </w:r>
          </w:p>
        </w:tc>
        <w:tc>
          <w:tcPr>
            <w:tcW w:w="1690" w:type="dxa"/>
            <w:gridSpan w:val="2"/>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理财产品名称</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【兴业银行天天万利宝稳利2号净值型理财产品G款】</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【稳利恒盈</w:t>
            </w:r>
            <w:r>
              <w:rPr>
                <w:rFonts w:ascii="宋体" w:hAnsi="宋体"/>
                <w:bCs/>
                <w:sz w:val="18"/>
                <w:szCs w:val="18"/>
              </w:rPr>
              <w:t>G</w:t>
            </w:r>
            <w:r>
              <w:rPr>
                <w:rFonts w:hint="eastAsia" w:ascii="宋体" w:hAnsi="宋体"/>
                <w:bCs/>
                <w:sz w:val="18"/>
                <w:szCs w:val="18"/>
              </w:rPr>
              <w:t xml:space="preserve"> 6个月】</w:t>
            </w:r>
            <w:r>
              <w:rPr>
                <w:rFonts w:hint="eastAsia" w:ascii="宋体" w:hAnsi="宋体"/>
                <w:bCs/>
                <w:color w:val="000000" w:themeColor="text1"/>
                <w:sz w:val="18"/>
                <w:szCs w:val="18"/>
                <w14:textFill>
                  <w14:solidFill>
                    <w14:schemeClr w14:val="tx1"/>
                  </w14:solidFill>
                </w14:textFill>
              </w:rPr>
              <w:t>（适用【A】类份额）</w:t>
            </w:r>
          </w:p>
          <w:p>
            <w:pPr>
              <w:spacing w:line="360" w:lineRule="auto"/>
              <w:jc w:val="left"/>
              <w:rPr>
                <w:rFonts w:ascii="宋体" w:hAnsi="宋体"/>
                <w:bCs/>
                <w:color w:val="000000" w:themeColor="text1"/>
                <w:sz w:val="18"/>
                <w:szCs w:val="18"/>
                <w14:textFill>
                  <w14:solidFill>
                    <w14:schemeClr w14:val="tx1"/>
                  </w14:solidFill>
                </w14:textFill>
              </w:rPr>
            </w:pPr>
            <w:r>
              <w:rPr>
                <w:rFonts w:hint="eastAsia" w:ascii="宋体" w:hAnsi="宋体"/>
                <w:bCs/>
                <w:sz w:val="18"/>
                <w:szCs w:val="18"/>
              </w:rPr>
              <w:t>【稳利恒盈</w:t>
            </w:r>
            <w:r>
              <w:rPr>
                <w:rFonts w:ascii="宋体" w:hAnsi="宋体"/>
                <w:bCs/>
                <w:sz w:val="18"/>
                <w:szCs w:val="18"/>
              </w:rPr>
              <w:t>G</w:t>
            </w:r>
            <w:r>
              <w:rPr>
                <w:rFonts w:hint="eastAsia" w:ascii="宋体" w:hAnsi="宋体"/>
                <w:bCs/>
                <w:sz w:val="18"/>
                <w:szCs w:val="18"/>
              </w:rPr>
              <w:t xml:space="preserve"> 6个月B】</w:t>
            </w:r>
            <w:r>
              <w:rPr>
                <w:rFonts w:hint="eastAsia" w:ascii="宋体" w:hAnsi="宋体"/>
                <w:bCs/>
                <w:color w:val="000000" w:themeColor="text1"/>
                <w:sz w:val="18"/>
                <w:szCs w:val="18"/>
                <w14:textFill>
                  <w14:solidFill>
                    <w14:schemeClr w14:val="tx1"/>
                  </w14:solidFill>
                </w14:textFill>
              </w:rPr>
              <w:t>（适用【B】类份额）</w:t>
            </w:r>
          </w:p>
          <w:p>
            <w:pPr>
              <w:spacing w:line="360" w:lineRule="auto"/>
              <w:jc w:val="left"/>
              <w:rPr>
                <w:rFonts w:ascii="宋体" w:hAnsi="宋体"/>
                <w:bCs/>
                <w:sz w:val="18"/>
                <w:szCs w:val="18"/>
              </w:rPr>
            </w:pPr>
            <w:r>
              <w:rPr>
                <w:rFonts w:hint="eastAsia" w:ascii="宋体" w:hAnsi="宋体"/>
                <w:bCs/>
                <w:sz w:val="18"/>
                <w:szCs w:val="18"/>
              </w:rPr>
              <w:t>【稳利恒盈</w:t>
            </w:r>
            <w:r>
              <w:rPr>
                <w:rFonts w:ascii="宋体" w:hAnsi="宋体"/>
                <w:bCs/>
                <w:sz w:val="18"/>
                <w:szCs w:val="18"/>
              </w:rPr>
              <w:t>G</w:t>
            </w:r>
            <w:r>
              <w:rPr>
                <w:rFonts w:hint="eastAsia" w:ascii="宋体" w:hAnsi="宋体"/>
                <w:bCs/>
                <w:sz w:val="18"/>
                <w:szCs w:val="18"/>
              </w:rPr>
              <w:t xml:space="preserve"> 6个月（惠享款）】（适用【C】类份额）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w:t>
            </w:r>
            <w:r>
              <w:rPr>
                <w:rFonts w:ascii="宋体" w:hAnsi="宋体"/>
                <w:bCs/>
                <w:sz w:val="18"/>
                <w:szCs w:val="18"/>
              </w:rPr>
              <w:t>Z7002020000024</w:t>
            </w:r>
            <w:r>
              <w:rPr>
                <w:rFonts w:hint="eastAsia" w:ascii="宋体" w:hAnsi="宋体"/>
                <w:bCs/>
                <w:sz w:val="18"/>
                <w:szCs w:val="18"/>
              </w:rPr>
              <w:t>】注：投资者可依据理财产品登记编码在中国理财网查询产品信息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w:t>
            </w:r>
            <w:r>
              <w:rPr>
                <w:rFonts w:ascii="宋体" w:hAnsi="宋体"/>
                <w:b/>
                <w:bCs/>
                <w:sz w:val="18"/>
                <w:szCs w:val="18"/>
              </w:rPr>
              <w:t>代码</w:t>
            </w:r>
          </w:p>
        </w:tc>
        <w:tc>
          <w:tcPr>
            <w:tcW w:w="6389" w:type="dxa"/>
            <w:gridSpan w:val="3"/>
            <w:shd w:val="solid" w:color="FFFFFF" w:fill="FFFFFF"/>
            <w:vAlign w:val="center"/>
          </w:tcPr>
          <w:p>
            <w:pPr>
              <w:spacing w:line="360" w:lineRule="auto"/>
              <w:jc w:val="left"/>
              <w:rPr>
                <w:rFonts w:ascii="宋体" w:hAnsi="宋体"/>
                <w:bCs/>
                <w:sz w:val="18"/>
                <w:szCs w:val="18"/>
              </w:rPr>
            </w:pPr>
            <w:r>
              <w:rPr>
                <w:rFonts w:ascii="宋体" w:hAnsi="宋体"/>
                <w:bCs/>
                <w:color w:val="000000" w:themeColor="text1"/>
                <w:sz w:val="18"/>
                <w:szCs w:val="18"/>
                <w14:textFill>
                  <w14:solidFill>
                    <w14:schemeClr w14:val="tx1"/>
                  </w14:solidFill>
                </w14:textFill>
              </w:rPr>
              <w:t>【</w:t>
            </w:r>
            <w:r>
              <w:rPr>
                <w:rFonts w:ascii="宋体" w:hAnsi="宋体"/>
                <w:bCs/>
                <w:sz w:val="18"/>
                <w:szCs w:val="18"/>
              </w:rPr>
              <w:t>9K218024</w:t>
            </w:r>
            <w:r>
              <w:rPr>
                <w:rFonts w:ascii="宋体" w:hAnsi="宋体"/>
                <w:bCs/>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b/>
                <w:bCs/>
                <w:sz w:val="18"/>
                <w:szCs w:val="18"/>
              </w:rPr>
              <w:t>销售</w:t>
            </w:r>
            <w:r>
              <w:rPr>
                <w:rFonts w:ascii="宋体" w:hAnsi="宋体"/>
                <w:b/>
                <w:bCs/>
                <w:sz w:val="18"/>
                <w:szCs w:val="18"/>
              </w:rPr>
              <w:t>代码</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w:t>
            </w:r>
            <w:r>
              <w:rPr>
                <w:rFonts w:ascii="宋体" w:hAnsi="宋体"/>
                <w:bCs/>
                <w:sz w:val="18"/>
                <w:szCs w:val="18"/>
              </w:rPr>
              <w:t>9K218024</w:t>
            </w:r>
            <w:r>
              <w:rPr>
                <w:rFonts w:hint="eastAsia" w:ascii="宋体" w:hAnsi="宋体"/>
                <w:bCs/>
                <w:sz w:val="18"/>
                <w:szCs w:val="18"/>
              </w:rPr>
              <w:t>】（适用【A】类份额）</w:t>
            </w:r>
          </w:p>
          <w:p>
            <w:pPr>
              <w:spacing w:line="320" w:lineRule="exact"/>
              <w:jc w:val="left"/>
              <w:rPr>
                <w:rFonts w:ascii="宋体" w:hAnsi="宋体"/>
                <w:bCs/>
                <w:sz w:val="18"/>
                <w:szCs w:val="18"/>
              </w:rPr>
            </w:pPr>
            <w:r>
              <w:rPr>
                <w:rFonts w:hint="eastAsia" w:ascii="宋体" w:hAnsi="宋体"/>
                <w:bCs/>
                <w:sz w:val="18"/>
                <w:szCs w:val="18"/>
              </w:rPr>
              <w:t>【</w:t>
            </w:r>
            <w:r>
              <w:rPr>
                <w:rFonts w:ascii="宋体" w:hAnsi="宋体"/>
                <w:bCs/>
                <w:sz w:val="18"/>
                <w:szCs w:val="18"/>
              </w:rPr>
              <w:t>9K218124</w:t>
            </w:r>
            <w:r>
              <w:rPr>
                <w:rFonts w:hint="eastAsia" w:ascii="宋体" w:hAnsi="宋体"/>
                <w:bCs/>
                <w:sz w:val="18"/>
                <w:szCs w:val="18"/>
              </w:rPr>
              <w:t>】（适用【B】类份额）</w:t>
            </w:r>
          </w:p>
          <w:p>
            <w:pPr>
              <w:spacing w:line="320" w:lineRule="exact"/>
              <w:jc w:val="left"/>
              <w:rPr>
                <w:rFonts w:ascii="宋体" w:hAnsi="宋体"/>
                <w:bCs/>
                <w:sz w:val="18"/>
                <w:szCs w:val="18"/>
              </w:rPr>
            </w:pPr>
            <w:r>
              <w:rPr>
                <w:rFonts w:hint="eastAsia" w:ascii="宋体" w:hAnsi="宋体"/>
                <w:bCs/>
                <w:sz w:val="18"/>
                <w:szCs w:val="18"/>
              </w:rPr>
              <w:t>【</w:t>
            </w:r>
            <w:r>
              <w:rPr>
                <w:rFonts w:ascii="宋体" w:hAnsi="宋体"/>
                <w:bCs/>
                <w:sz w:val="18"/>
                <w:szCs w:val="18"/>
              </w:rPr>
              <w:t>9K218224</w:t>
            </w:r>
            <w:r>
              <w:rPr>
                <w:rFonts w:hint="eastAsia" w:ascii="宋体" w:hAnsi="宋体"/>
                <w:bCs/>
                <w:sz w:val="18"/>
                <w:szCs w:val="18"/>
              </w:rPr>
              <w:t>】（适用【</w:t>
            </w:r>
            <w:r>
              <w:rPr>
                <w:rFonts w:ascii="宋体" w:hAnsi="宋体"/>
                <w:bCs/>
                <w:sz w:val="18"/>
                <w:szCs w:val="18"/>
              </w:rPr>
              <w:t>C</w:t>
            </w:r>
            <w:r>
              <w:rPr>
                <w:rFonts w:hint="eastAsia" w:ascii="宋体" w:hAnsi="宋体"/>
                <w:bCs/>
                <w:sz w:val="18"/>
                <w:szCs w:val="18"/>
              </w:rPr>
              <w:t>】类份额）</w:t>
            </w:r>
          </w:p>
          <w:p>
            <w:pPr>
              <w:spacing w:line="320" w:lineRule="exact"/>
              <w:jc w:val="left"/>
              <w:rPr>
                <w:rFonts w:ascii="宋体" w:hAnsi="宋体"/>
                <w:bCs/>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r>
              <w:rPr>
                <w:rFonts w:ascii="宋体" w:hAnsi="宋体"/>
                <w:szCs w:val="18"/>
                <w:u w:val="single"/>
              </w:rPr>
              <w:t xml:space="preserve">　                     </w:t>
            </w:r>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17"/>
            <w:spacing w:line="360" w:lineRule="auto"/>
            <w:jc w:val="center"/>
          </w:pPr>
          <w:r>
            <w:rPr>
              <w:lang w:val="zh-CN"/>
            </w:rPr>
            <w:t>目录</w:t>
          </w:r>
        </w:p>
        <w:p>
          <w:pPr>
            <w:pStyle w:val="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9</w:t>
          </w:r>
          <w:r>
            <w:fldChar w:fldCharType="end"/>
          </w:r>
          <w:r>
            <w:fldChar w:fldCharType="end"/>
          </w:r>
        </w:p>
        <w:p>
          <w:pPr>
            <w:pStyle w:val="6"/>
            <w:tabs>
              <w:tab w:val="right" w:leader="dot" w:pos="8306"/>
              <w:tab w:val="clear" w:pos="8296"/>
            </w:tabs>
          </w:pPr>
          <w:r>
            <w:fldChar w:fldCharType="begin"/>
          </w:r>
          <w:r>
            <w:instrText xml:space="preserve"> HYPERLINK \l "_Toc12429" </w:instrText>
          </w:r>
          <w:r>
            <w:fldChar w:fldCharType="separate"/>
          </w:r>
          <w:r>
            <w:t>第</w:t>
          </w:r>
          <w:r>
            <w:rPr>
              <w:rFonts w:hint="eastAsia"/>
            </w:rPr>
            <w:t xml:space="preserve">二条 </w:t>
          </w:r>
          <w:r>
            <w:t xml:space="preserve"> </w:t>
          </w:r>
          <w:r>
            <w:rPr>
              <w:rFonts w:hint="eastAsia"/>
            </w:rPr>
            <w:t>双方</w:t>
          </w:r>
          <w:r>
            <w:t>权利义务</w:t>
          </w:r>
          <w:r>
            <w:tab/>
          </w:r>
          <w:r>
            <w:fldChar w:fldCharType="begin"/>
          </w:r>
          <w:r>
            <w:instrText xml:space="preserve"> PAGEREF _Toc12429 \h </w:instrText>
          </w:r>
          <w:r>
            <w:fldChar w:fldCharType="separate"/>
          </w:r>
          <w:r>
            <w:t>10</w:t>
          </w:r>
          <w:r>
            <w:fldChar w:fldCharType="end"/>
          </w:r>
          <w:r>
            <w:fldChar w:fldCharType="end"/>
          </w:r>
        </w:p>
        <w:p>
          <w:pPr>
            <w:pStyle w:val="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不可抗力</w:t>
          </w:r>
          <w:r>
            <w:tab/>
          </w:r>
          <w:r>
            <w:fldChar w:fldCharType="begin"/>
          </w:r>
          <w:r>
            <w:instrText xml:space="preserve"> PAGEREF _Toc706 \h </w:instrText>
          </w:r>
          <w:r>
            <w:fldChar w:fldCharType="separate"/>
          </w:r>
          <w:r>
            <w:t>13</w:t>
          </w:r>
          <w:r>
            <w:fldChar w:fldCharType="end"/>
          </w:r>
          <w:r>
            <w:fldChar w:fldCharType="end"/>
          </w:r>
        </w:p>
        <w:p>
          <w:pPr>
            <w:pStyle w:val="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14</w:t>
          </w:r>
          <w:r>
            <w:fldChar w:fldCharType="end"/>
          </w:r>
          <w:r>
            <w:fldChar w:fldCharType="end"/>
          </w:r>
        </w:p>
        <w:p>
          <w:pPr>
            <w:pStyle w:val="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法律适用和争议解决</w:t>
          </w:r>
          <w:r>
            <w:tab/>
          </w:r>
          <w:r>
            <w:fldChar w:fldCharType="begin"/>
          </w:r>
          <w:r>
            <w:instrText xml:space="preserve"> PAGEREF _Toc29618 \h </w:instrText>
          </w:r>
          <w:r>
            <w:fldChar w:fldCharType="separate"/>
          </w:r>
          <w:r>
            <w:t>15</w:t>
          </w:r>
          <w:r>
            <w:fldChar w:fldCharType="end"/>
          </w:r>
          <w:r>
            <w:fldChar w:fldCharType="end"/>
          </w:r>
        </w:p>
        <w:p>
          <w:pPr>
            <w:pStyle w:val="6"/>
            <w:tabs>
              <w:tab w:val="right" w:leader="dot" w:pos="8306"/>
              <w:tab w:val="clear" w:pos="8296"/>
            </w:tabs>
          </w:pPr>
          <w:r>
            <w:fldChar w:fldCharType="begin"/>
          </w:r>
          <w:r>
            <w:instrText xml:space="preserve"> HYPERLINK \l "_Toc11943" </w:instrText>
          </w:r>
          <w:r>
            <w:fldChar w:fldCharType="separate"/>
          </w:r>
          <w:r>
            <w:rPr>
              <w:rFonts w:hint="eastAsia"/>
            </w:rPr>
            <w:t xml:space="preserve">第六条 </w:t>
          </w:r>
          <w:r>
            <w:t xml:space="preserve"> 协议的签署和</w:t>
          </w:r>
          <w:r>
            <w:rPr>
              <w:rFonts w:hint="eastAsia"/>
            </w:rPr>
            <w:t>效力</w:t>
          </w:r>
          <w:r>
            <w:tab/>
          </w:r>
          <w:r>
            <w:fldChar w:fldCharType="begin"/>
          </w:r>
          <w:r>
            <w:instrText xml:space="preserve"> PAGEREF _Toc11943 \h </w:instrText>
          </w:r>
          <w:r>
            <w:fldChar w:fldCharType="separate"/>
          </w:r>
          <w:r>
            <w:t>16</w:t>
          </w:r>
          <w:r>
            <w:fldChar w:fldCharType="end"/>
          </w:r>
          <w:r>
            <w:fldChar w:fldCharType="end"/>
          </w:r>
        </w:p>
        <w:p>
          <w:pPr>
            <w:pStyle w:val="6"/>
            <w:tabs>
              <w:tab w:val="right" w:leader="dot" w:pos="8306"/>
              <w:tab w:val="clear" w:pos="8296"/>
            </w:tabs>
          </w:pPr>
          <w:r>
            <w:fldChar w:fldCharType="begin"/>
          </w:r>
          <w:r>
            <w:instrText xml:space="preserve"> HYPERLINK \l "_Toc29352" </w:instrText>
          </w:r>
          <w:r>
            <w:fldChar w:fldCharType="separate"/>
          </w:r>
          <w:r>
            <w:rPr>
              <w:rFonts w:hint="eastAsia"/>
            </w:rPr>
            <w:t xml:space="preserve">第七条 </w:t>
          </w:r>
          <w:r>
            <w:t xml:space="preserve"> </w:t>
          </w:r>
          <w:r>
            <w:rPr>
              <w:rFonts w:hint="eastAsia"/>
            </w:rPr>
            <w:t>消费者权益保护</w:t>
          </w:r>
          <w:r>
            <w:tab/>
          </w:r>
          <w:r>
            <w:fldChar w:fldCharType="begin"/>
          </w:r>
          <w:r>
            <w:instrText xml:space="preserve"> PAGEREF _Toc29352 \h </w:instrText>
          </w:r>
          <w:r>
            <w:fldChar w:fldCharType="separate"/>
          </w:r>
          <w:r>
            <w:t>17</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15517"/>
      <w:bookmarkStart w:id="15" w:name="_Toc123701389"/>
      <w:bookmarkStart w:id="16" w:name="_Toc123112229"/>
      <w:bookmarkStart w:id="17" w:name="_Toc30935"/>
      <w:bookmarkStart w:id="18" w:name="_Toc141703880"/>
      <w:bookmarkStart w:id="19" w:name="_Toc32639"/>
      <w:bookmarkStart w:id="20" w:name="_Toc29629"/>
      <w:bookmarkStart w:id="21" w:name="_Toc139991730"/>
      <w:bookmarkStart w:id="22" w:name="_Toc6306"/>
      <w:bookmarkStart w:id="23" w:name="_Toc4867"/>
      <w:bookmarkStart w:id="24" w:name="_Toc26897"/>
      <w:bookmarkStart w:id="25" w:name="_Toc123112268"/>
      <w:bookmarkStart w:id="26" w:name="_Toc8727"/>
      <w:bookmarkStart w:id="27" w:name="_Toc23386"/>
      <w:bookmarkStart w:id="28" w:name="_Toc4966"/>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22864"/>
      <w:bookmarkStart w:id="33" w:name="_Toc13020"/>
      <w:bookmarkStart w:id="34" w:name="_Toc21301"/>
      <w:bookmarkStart w:id="35" w:name="_Toc3224"/>
      <w:bookmarkStart w:id="36" w:name="_Toc6617"/>
      <w:bookmarkStart w:id="37" w:name="_Toc19592"/>
      <w:bookmarkStart w:id="38" w:name="_Toc15067"/>
      <w:bookmarkStart w:id="39" w:name="_Toc819"/>
      <w:bookmarkStart w:id="40" w:name="_Toc258829399"/>
      <w:bookmarkStart w:id="41" w:name="_Toc2465"/>
      <w:bookmarkStart w:id="42" w:name="_Toc24860"/>
      <w:r>
        <w:rPr>
          <w:rFonts w:hint="eastAsia" w:ascii="Times New Roman"/>
          <w:color w:val="auto"/>
          <w:sz w:val="30"/>
        </w:rPr>
        <w:t>前言</w:t>
      </w:r>
      <w:bookmarkEnd w:id="29"/>
    </w:p>
    <w:p>
      <w:pPr>
        <w:pStyle w:val="18"/>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号）、《商业银行理财业务监督管理办法》（银保监会令2018年第</w:t>
      </w:r>
      <w:r>
        <w:rPr>
          <w:rFonts w:ascii="宋体" w:hAnsi="宋体"/>
          <w:sz w:val="18"/>
          <w:szCs w:val="18"/>
        </w:rPr>
        <w:t>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宋体" w:hAnsi="宋体"/>
          <w:sz w:val="18"/>
          <w:szCs w:val="18"/>
        </w:rPr>
        <w:t>.订立本投资协议书的原则是平等自愿、诚实信用、充分保护投资人合法权益。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ascii="Times New Roman"/>
          <w:color w:val="auto"/>
          <w:sz w:val="30"/>
        </w:rPr>
        <w:t>第</w:t>
      </w:r>
      <w:r>
        <w:rPr>
          <w:rFonts w:hint="eastAsia" w:ascii="Times New Roman"/>
          <w:color w:val="auto"/>
          <w:sz w:val="30"/>
        </w:rPr>
        <w:t xml:space="preserve">二条 </w:t>
      </w:r>
      <w:r>
        <w:rPr>
          <w:rFonts w:ascii="Times New Roman"/>
          <w:color w:val="auto"/>
          <w:sz w:val="30"/>
        </w:rPr>
        <w:t xml:space="preserve"> </w:t>
      </w:r>
      <w:r>
        <w:rPr>
          <w:rFonts w:hint="eastAsia" w:ascii="Times New Roman"/>
          <w:color w:val="auto"/>
          <w:sz w:val="30"/>
        </w:rPr>
        <w:t>双方</w:t>
      </w:r>
      <w:r>
        <w:rPr>
          <w:rFonts w:ascii="Times New Roman"/>
          <w:color w:val="auto"/>
          <w:sz w:val="30"/>
        </w:rPr>
        <w:t>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宋体" w:hAnsi="宋体"/>
          <w:sz w:val="18"/>
          <w:szCs w:val="18"/>
        </w:rPr>
        <w:t>投资者承诺由此产生的相关风险由投资者承担</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hint="eastAsia" w:ascii="宋体" w:hAnsi="宋体"/>
          <w:sz w:val="18"/>
          <w:szCs w:val="18"/>
        </w:rPr>
        <w:t>3.</w:t>
      </w:r>
      <w:r>
        <w:rPr>
          <w:rFonts w:ascii="宋体" w:hAnsi="宋体"/>
          <w:sz w:val="18"/>
          <w:szCs w:val="18"/>
        </w:rPr>
        <w:t>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销售机构办理变更手续。如因投资者未及时办理变更手续而造成产品管理人及</w:t>
      </w:r>
      <w:r>
        <w:rPr>
          <w:rFonts w:ascii="宋体" w:hAnsi="宋体"/>
          <w:sz w:val="18"/>
          <w:szCs w:val="18"/>
        </w:rPr>
        <w:t>/或</w:t>
      </w:r>
      <w:r>
        <w:rPr>
          <w:rFonts w:hint="eastAsia" w:ascii="宋体" w:hAnsi="宋体"/>
          <w:sz w:val="18"/>
          <w:szCs w:val="18"/>
        </w:rPr>
        <w:t>销售机构无法向投资者进行正常利益分配和资金清算分配</w:t>
      </w:r>
      <w:r>
        <w:rPr>
          <w:rFonts w:ascii="宋体" w:hAnsi="宋体"/>
          <w:sz w:val="18"/>
          <w:szCs w:val="18"/>
        </w:rPr>
        <w:t xml:space="preserve">, </w:t>
      </w:r>
      <w:r>
        <w:rPr>
          <w:rFonts w:hint="eastAsia" w:ascii="宋体" w:hAnsi="宋体"/>
          <w:sz w:val="18"/>
          <w:szCs w:val="18"/>
        </w:rPr>
        <w:t>由此导致投资者损失的由投资者自行承担</w:t>
      </w:r>
      <w:r>
        <w:rPr>
          <w:rFonts w:ascii="宋体" w:hAnsi="宋体"/>
          <w:sz w:val="18"/>
          <w:szCs w:val="18"/>
        </w:rPr>
        <w:t xml:space="preserve">, </w:t>
      </w:r>
      <w:r>
        <w:rPr>
          <w:rFonts w:hint="eastAsia" w:ascii="宋体" w:hAnsi="宋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宋体" w:hAnsi="宋体"/>
          <w:sz w:val="18"/>
          <w:szCs w:val="18"/>
        </w:rPr>
        <w:t>1</w:t>
      </w:r>
      <w:r>
        <w:rPr>
          <w:rFonts w:ascii="宋体" w:hAnsi="宋体"/>
          <w:sz w:val="18"/>
          <w:szCs w:val="18"/>
        </w:rPr>
        <w:t>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20318"/>
      <w:bookmarkStart w:id="48" w:name="_Toc18631"/>
      <w:bookmarkStart w:id="49" w:name="_Toc13288"/>
      <w:bookmarkStart w:id="50" w:name="_Toc733"/>
      <w:bookmarkStart w:id="51" w:name="_Toc22708"/>
      <w:bookmarkStart w:id="52" w:name="_Toc6149"/>
      <w:bookmarkStart w:id="53" w:name="_Toc24571"/>
      <w:bookmarkStart w:id="54" w:name="_Toc545"/>
      <w:bookmarkStart w:id="55" w:name="_Toc20627"/>
      <w:bookmarkStart w:id="56" w:name="_Toc74065740"/>
      <w:bookmarkStart w:id="57" w:name="_Toc6683"/>
      <w:bookmarkStart w:id="58" w:name="_Toc258829400"/>
      <w:bookmarkStart w:id="59" w:name="_Toc233456272"/>
      <w:r>
        <w:rPr>
          <w:rFonts w:hint="eastAsia" w:ascii="Times New Roman"/>
          <w:color w:val="auto"/>
          <w:sz w:val="30"/>
        </w:rPr>
        <w:t>第三条</w:t>
      </w:r>
      <w:r>
        <w:rPr>
          <w:rFonts w:ascii="Times New Roman"/>
          <w:color w:val="auto"/>
          <w:sz w:val="30"/>
        </w:rPr>
        <w:t xml:space="preserve">  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.本协议书中涉及的相关到期日或分配日如遇节假日，将顺延至下一个工作日，由此产生的风险及损失双方当事人互不承担责任；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 xml:space="preserve">第六条 </w:t>
      </w:r>
      <w:r>
        <w:rPr>
          <w:rFonts w:ascii="Times New Roman"/>
          <w:color w:val="auto"/>
          <w:sz w:val="30"/>
        </w:rPr>
        <w:t xml:space="preserve"> 协议的签署和</w:t>
      </w:r>
      <w:r>
        <w:rPr>
          <w:rFonts w:hint="eastAsia" w:ascii="Times New Roman"/>
          <w:color w:val="auto"/>
          <w:sz w:val="30"/>
        </w:rPr>
        <w:t>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，本协议自投资者签字</w:t>
      </w:r>
      <w:r>
        <w:rPr>
          <w:rFonts w:ascii="黑体" w:hAnsi="黑体" w:eastAsia="黑体"/>
          <w:sz w:val="18"/>
          <w:szCs w:val="18"/>
        </w:rPr>
        <w:t>/盖章后则为签署。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29352"/>
      <w:bookmarkStart w:id="64" w:name="_Toc77953869"/>
      <w:r>
        <w:rPr>
          <w:rFonts w:hint="eastAsia" w:ascii="Times New Roman"/>
          <w:color w:val="auto"/>
          <w:sz w:val="30"/>
        </w:rPr>
        <w:t xml:space="preserve">第七条 </w:t>
      </w:r>
      <w:r>
        <w:rPr>
          <w:rFonts w:ascii="Times New Roman"/>
          <w:color w:val="auto"/>
          <w:sz w:val="30"/>
        </w:rPr>
        <w:t xml:space="preserve"> </w:t>
      </w:r>
      <w:r>
        <w:rPr>
          <w:rFonts w:hint="eastAsia" w:ascii="Times New Roman"/>
          <w:color w:val="auto"/>
          <w:sz w:val="30"/>
        </w:rPr>
        <w:t>消费者权益保护</w:t>
      </w:r>
      <w:bookmarkEnd w:id="63"/>
      <w:bookmarkEnd w:id="64"/>
      <w:r>
        <w:rPr>
          <w:rFonts w:hint="eastAsia"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hint="eastAsia"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 xml:space="preserve">销售机构的联络方式，具体以《（代理）销售协议书》、《投资者权益须知》等销售文件的内容为准。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10"/>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b/>
                <w:sz w:val="18"/>
                <w:szCs w:val="18"/>
              </w:rPr>
            </w:pPr>
            <w:r>
              <w:rPr>
                <w:rFonts w:hint="eastAsia" w:ascii="宋体" w:hAnsi="宋体" w:cs="宋体"/>
                <w:b/>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b/>
                <w:sz w:val="18"/>
                <w:szCs w:val="18"/>
              </w:rPr>
            </w:pPr>
            <w:r>
              <w:rPr>
                <w:rFonts w:hint="eastAsia" w:ascii="宋体" w:hAnsi="宋体" w:cs="宋体"/>
                <w:b/>
                <w:sz w:val="18"/>
                <w:szCs w:val="18"/>
              </w:rPr>
              <w:t>【】类</w:t>
            </w:r>
            <w:r>
              <w:rPr>
                <w:rFonts w:ascii="宋体" w:hAnsi="宋体" w:cs="宋体"/>
                <w:b/>
                <w:sz w:val="18"/>
                <w:szCs w:val="18"/>
              </w:rPr>
              <w:t>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hint="eastAsia" w:ascii="宋体" w:hAnsi="宋体"/>
                <w:b/>
                <w:bCs/>
                <w:sz w:val="18"/>
                <w:szCs w:val="18"/>
              </w:rPr>
              <w:t>小写：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u w:val="single"/>
              </w:rPr>
              <w:t xml:space="preserve">      </w:t>
            </w:r>
            <w:r>
              <w:rPr>
                <w:rFonts w:hint="eastAsia" w:ascii="宋体" w:hAnsi="宋体"/>
                <w:b/>
                <w:bCs/>
                <w:sz w:val="18"/>
                <w:szCs w:val="18"/>
              </w:rPr>
              <w:t>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pPr>
              <w:autoSpaceDE w:val="0"/>
              <w:autoSpaceDN w:val="0"/>
              <w:adjustRightInd w:val="0"/>
              <w:snapToGrid w:val="0"/>
              <w:spacing w:line="360" w:lineRule="auto"/>
              <w:jc w:val="center"/>
              <w:rPr>
                <w:rFonts w:ascii="宋体" w:hAnsi="宋体"/>
                <w:b/>
                <w:bCs/>
                <w:sz w:val="18"/>
                <w:szCs w:val="18"/>
              </w:rPr>
            </w:pPr>
            <w:r>
              <w:rPr>
                <w:rFonts w:hint="eastAsia" w:ascii="宋体" w:hAnsi="宋体"/>
                <w:b/>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金额</w:t>
            </w:r>
            <w:r>
              <w:rPr>
                <w:rFonts w:hint="eastAsia" w:ascii="宋体" w:hAnsi="宋体"/>
                <w:b/>
                <w:bCs/>
                <w:sz w:val="18"/>
                <w:szCs w:val="18"/>
              </w:rPr>
              <w:t>：小写：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u w:val="single"/>
              </w:rPr>
              <w:t xml:space="preserve">     </w:t>
            </w:r>
            <w:r>
              <w:rPr>
                <w:rFonts w:hint="eastAsia" w:ascii="宋体" w:hAnsi="宋体"/>
                <w:b/>
                <w:bCs/>
                <w:sz w:val="18"/>
                <w:szCs w:val="18"/>
              </w:rPr>
              <w:t>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pPr>
              <w:autoSpaceDE w:val="0"/>
              <w:autoSpaceDN w:val="0"/>
              <w:adjustRightInd w:val="0"/>
              <w:snapToGrid w:val="0"/>
              <w:spacing w:line="360" w:lineRule="auto"/>
              <w:jc w:val="center"/>
              <w:rPr>
                <w:rFonts w:ascii="宋体" w:hAnsi="宋体"/>
                <w:b/>
                <w:bCs/>
                <w:sz w:val="18"/>
                <w:szCs w:val="18"/>
              </w:rPr>
            </w:pPr>
            <w:r>
              <w:rPr>
                <w:rFonts w:hint="eastAsia" w:ascii="宋体" w:hAnsi="宋体"/>
                <w:b/>
                <w:bCs/>
                <w:sz w:val="18"/>
                <w:szCs w:val="18"/>
              </w:rPr>
              <w:t>赎回</w:t>
            </w:r>
          </w:p>
        </w:tc>
        <w:tc>
          <w:tcPr>
            <w:tcW w:w="5987" w:type="dxa"/>
            <w:vAlign w:val="center"/>
          </w:tcPr>
          <w:p>
            <w:pPr>
              <w:autoSpaceDE w:val="0"/>
              <w:autoSpaceDN w:val="0"/>
              <w:adjustRightInd w:val="0"/>
              <w:snapToGrid w:val="0"/>
              <w:spacing w:line="360" w:lineRule="auto"/>
              <w:rPr>
                <w:rFonts w:ascii="宋体" w:hAnsi="宋体"/>
                <w:b/>
                <w:bCs/>
                <w:sz w:val="18"/>
                <w:szCs w:val="18"/>
              </w:rPr>
            </w:pPr>
            <w:r>
              <w:rPr>
                <w:rFonts w:ascii="宋体" w:hAnsi="宋体"/>
                <w:b/>
                <w:bCs/>
                <w:sz w:val="18"/>
                <w:szCs w:val="18"/>
              </w:rPr>
              <w:t>份额：</w:t>
            </w:r>
            <w:r>
              <w:rPr>
                <w:rFonts w:hint="eastAsia" w:ascii="宋体" w:hAnsi="宋体"/>
                <w:b/>
                <w:bCs/>
                <w:sz w:val="18"/>
                <w:szCs w:val="18"/>
              </w:rPr>
              <w:t>小写：</w:t>
            </w:r>
            <w:r>
              <w:rPr>
                <w:rFonts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u w:val="single"/>
              </w:rPr>
              <w:t xml:space="preserve">        </w:t>
            </w:r>
            <w:r>
              <w:rPr>
                <w:rFonts w:hint="eastAsia" w:ascii="宋体" w:hAnsi="宋体"/>
                <w:b/>
                <w:bCs/>
                <w:sz w:val="18"/>
                <w:szCs w:val="18"/>
              </w:rPr>
              <w:t>份。</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b/>
                <w:sz w:val="18"/>
                <w:szCs w:val="18"/>
              </w:rPr>
            </w:pPr>
            <w:r>
              <w:rPr>
                <w:rFonts w:hint="eastAsia" w:asciiTheme="minorEastAsia" w:hAnsiTheme="minorEastAsia"/>
                <w:sz w:val="18"/>
                <w:szCs w:val="18"/>
              </w:rPr>
              <w:t xml:space="preserve">【 </w:t>
            </w:r>
            <w:r>
              <w:rPr>
                <w:rFonts w:asciiTheme="minorEastAsia" w:hAnsiTheme="minorEastAsia"/>
                <w:sz w:val="18"/>
                <w:szCs w:val="18"/>
              </w:rPr>
              <w:t>】年</w:t>
            </w:r>
            <w:r>
              <w:rPr>
                <w:rFonts w:hint="eastAsia" w:asciiTheme="minorEastAsia" w:hAnsiTheme="minorEastAsia"/>
                <w:sz w:val="18"/>
                <w:szCs w:val="18"/>
              </w:rPr>
              <w:t>【 】月【 】日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w:t>
            </w:r>
            <w:r>
              <w:rPr>
                <w:rFonts w:ascii="黑体" w:hAnsi="黑体" w:eastAsia="黑体"/>
                <w:sz w:val="18"/>
                <w:szCs w:val="18"/>
              </w:rPr>
              <w:t>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w:t>
            </w:r>
            <w:r>
              <w:rPr>
                <w:rFonts w:ascii="黑体" w:hAnsi="黑体" w:eastAsia="黑体"/>
                <w:sz w:val="18"/>
                <w:szCs w:val="18"/>
              </w:rPr>
              <w:t>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3.投资者</w:t>
            </w:r>
            <w:r>
              <w:rPr>
                <w:rFonts w:ascii="黑体" w:hAnsi="黑体" w:eastAsia="黑体"/>
                <w:sz w:val="18"/>
                <w:szCs w:val="18"/>
              </w:rPr>
              <w:t>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b/>
                <w:sz w:val="18"/>
                <w:szCs w:val="18"/>
              </w:rPr>
            </w:pPr>
            <w:r>
              <w:rPr>
                <w:rFonts w:hint="eastAsia"/>
                <w:b/>
                <w:sz w:val="18"/>
                <w:szCs w:val="18"/>
              </w:rPr>
              <w:t>个人投资者适用</w:t>
            </w:r>
          </w:p>
        </w:tc>
        <w:tc>
          <w:tcPr>
            <w:tcW w:w="6998" w:type="dxa"/>
            <w:gridSpan w:val="2"/>
          </w:tcPr>
          <w:p>
            <w:pPr>
              <w:spacing w:line="360" w:lineRule="auto"/>
              <w:rPr>
                <w:sz w:val="18"/>
                <w:szCs w:val="18"/>
              </w:rPr>
            </w:pPr>
            <w:r>
              <w:rPr>
                <w:rFonts w:hint="eastAsia"/>
                <w:sz w:val="18"/>
                <w:szCs w:val="18"/>
              </w:rPr>
              <w:t>投资者（签字）：</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b/>
                <w:sz w:val="18"/>
                <w:szCs w:val="18"/>
              </w:rPr>
            </w:pPr>
            <w:r>
              <w:rPr>
                <w:rFonts w:hint="eastAsia"/>
                <w:b/>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投资者法定代表人或授权代理人（签字或盖章）：</w:t>
            </w:r>
          </w:p>
          <w:p>
            <w:pPr>
              <w:spacing w:line="360" w:lineRule="auto"/>
              <w:rPr>
                <w:sz w:val="18"/>
                <w:szCs w:val="18"/>
              </w:rPr>
            </w:pPr>
            <w:r>
              <w:rPr>
                <w:rFonts w:hint="eastAsia"/>
                <w:sz w:val="18"/>
                <w:szCs w:val="18"/>
              </w:rPr>
              <w:t>日期：</w:t>
            </w:r>
          </w:p>
        </w:tc>
      </w:tr>
    </w:tbl>
    <w:p>
      <w:pPr>
        <w:spacing w:line="360" w:lineRule="auto"/>
        <w:jc w:val="left"/>
        <w:rPr>
          <w:rFonts w:hint="eastAsia"/>
          <w:bCs/>
          <w:lang w:eastAsia="zh-CN"/>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sectPr>
          <w:headerReference r:id="rId9" w:type="default"/>
          <w:footerReference r:id="rId10" w:type="default"/>
          <w:pgSz w:w="11906" w:h="16838"/>
          <w:pgMar w:top="1440" w:right="1800" w:bottom="1440" w:left="1800" w:header="567" w:footer="964" w:gutter="0"/>
          <w:pgNumType w:fmt="decimal"/>
          <w:cols w:space="720" w:num="1"/>
          <w:docGrid w:type="lines" w:linePitch="312" w:charSpace="0"/>
        </w:sectPr>
      </w:pPr>
    </w:p>
    <w:p>
      <w:pPr>
        <w:widowControl/>
        <w:spacing w:line="360" w:lineRule="auto"/>
        <w:jc w:val="center"/>
        <w:rPr>
          <w:rStyle w:val="12"/>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12"/>
          <w:rFonts w:ascii="宋体" w:hAnsi="宋体"/>
          <w:sz w:val="32"/>
          <w:szCs w:val="32"/>
        </w:rPr>
      </w:pPr>
    </w:p>
    <w:p>
      <w:pPr>
        <w:adjustRightInd w:val="0"/>
        <w:spacing w:line="360" w:lineRule="auto"/>
        <w:jc w:val="center"/>
        <w:rPr>
          <w:rStyle w:val="12"/>
          <w:rFonts w:ascii="宋体" w:hAnsi="宋体"/>
          <w:sz w:val="32"/>
          <w:szCs w:val="32"/>
        </w:rPr>
      </w:pPr>
    </w:p>
    <w:p>
      <w:pPr>
        <w:adjustRightInd w:val="0"/>
        <w:spacing w:line="360" w:lineRule="auto"/>
        <w:jc w:val="center"/>
        <w:rPr>
          <w:rStyle w:val="12"/>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12"/>
          <w:rFonts w:ascii="宋体" w:hAnsi="宋体"/>
          <w:sz w:val="32"/>
          <w:szCs w:val="32"/>
        </w:rPr>
      </w:pPr>
    </w:p>
    <w:p>
      <w:pPr>
        <w:adjustRightInd w:val="0"/>
        <w:spacing w:line="360" w:lineRule="auto"/>
        <w:jc w:val="center"/>
        <w:rPr>
          <w:rStyle w:val="12"/>
          <w:rFonts w:ascii="黑体" w:hAnsi="黑体" w:eastAsia="黑体"/>
          <w:sz w:val="44"/>
          <w:szCs w:val="44"/>
        </w:rPr>
      </w:pPr>
      <w:r>
        <w:rPr>
          <w:rStyle w:val="12"/>
          <w:rFonts w:hint="eastAsia" w:ascii="黑体" w:hAnsi="黑体" w:eastAsia="黑体"/>
          <w:sz w:val="44"/>
          <w:szCs w:val="44"/>
        </w:rPr>
        <w:t>兴银理财【天天万利宝稳利净值型】理财产品</w:t>
      </w:r>
    </w:p>
    <w:p>
      <w:pPr>
        <w:adjustRightInd w:val="0"/>
        <w:spacing w:line="360" w:lineRule="auto"/>
        <w:jc w:val="center"/>
        <w:rPr>
          <w:rStyle w:val="12"/>
          <w:rFonts w:ascii="黑体" w:hAnsi="黑体" w:eastAsia="黑体"/>
          <w:sz w:val="44"/>
          <w:szCs w:val="44"/>
        </w:rPr>
      </w:pPr>
      <w:r>
        <w:rPr>
          <w:rStyle w:val="12"/>
          <w:rFonts w:hint="eastAsia" w:ascii="黑体" w:hAnsi="黑体" w:eastAsia="黑体"/>
          <w:sz w:val="44"/>
          <w:szCs w:val="44"/>
        </w:rPr>
        <w:t>产品说明书</w:t>
      </w:r>
    </w:p>
    <w:p>
      <w:pPr>
        <w:adjustRightInd w:val="0"/>
        <w:spacing w:line="360" w:lineRule="auto"/>
        <w:jc w:val="center"/>
        <w:rPr>
          <w:rStyle w:val="12"/>
          <w:rFonts w:ascii="宋体" w:hAnsi="宋体"/>
          <w:sz w:val="32"/>
          <w:szCs w:val="32"/>
        </w:rPr>
      </w:pPr>
    </w:p>
    <w:p>
      <w:pPr>
        <w:adjustRightInd w:val="0"/>
        <w:spacing w:line="360" w:lineRule="auto"/>
        <w:rPr>
          <w:rStyle w:val="12"/>
          <w:rFonts w:ascii="黑体" w:hAnsi="黑体" w:eastAsia="黑体"/>
          <w:bCs w:val="0"/>
          <w:sz w:val="28"/>
          <w:szCs w:val="28"/>
        </w:rPr>
      </w:pPr>
    </w:p>
    <w:p>
      <w:pPr>
        <w:adjustRightInd w:val="0"/>
        <w:spacing w:line="360" w:lineRule="auto"/>
        <w:jc w:val="center"/>
        <w:rPr>
          <w:rStyle w:val="12"/>
          <w:rFonts w:ascii="黑体" w:hAnsi="黑体" w:eastAsia="黑体"/>
          <w:bCs w:val="0"/>
          <w:sz w:val="28"/>
          <w:szCs w:val="28"/>
        </w:rPr>
      </w:pPr>
    </w:p>
    <w:p>
      <w:pPr>
        <w:adjustRightInd w:val="0"/>
        <w:spacing w:line="360" w:lineRule="auto"/>
        <w:jc w:val="center"/>
        <w:rPr>
          <w:rStyle w:val="12"/>
          <w:rFonts w:ascii="黑体" w:hAnsi="黑体" w:eastAsia="黑体"/>
          <w:bCs w:val="0"/>
          <w:sz w:val="28"/>
          <w:szCs w:val="28"/>
        </w:rPr>
      </w:pPr>
    </w:p>
    <w:p>
      <w:pPr>
        <w:adjustRightInd w:val="0"/>
        <w:spacing w:line="360" w:lineRule="auto"/>
        <w:jc w:val="center"/>
        <w:rPr>
          <w:rStyle w:val="12"/>
          <w:rFonts w:ascii="宋体" w:hAnsi="宋体" w:cs="Times New Roman"/>
          <w:sz w:val="32"/>
          <w:szCs w:val="32"/>
        </w:rPr>
      </w:pPr>
      <w:r>
        <w:rPr>
          <w:rStyle w:val="12"/>
          <w:rFonts w:hint="eastAsia" w:ascii="宋体" w:hAnsi="宋体" w:cs="Times New Roman"/>
          <w:sz w:val="32"/>
          <w:szCs w:val="32"/>
        </w:rPr>
        <w:t>理财产品管理人：兴银理财有限责任公司</w:t>
      </w:r>
    </w:p>
    <w:p>
      <w:pPr>
        <w:adjustRightInd w:val="0"/>
        <w:spacing w:line="360" w:lineRule="auto"/>
        <w:jc w:val="center"/>
        <w:rPr>
          <w:rStyle w:val="12"/>
          <w:rFonts w:ascii="宋体" w:hAnsi="宋体"/>
          <w:sz w:val="32"/>
          <w:szCs w:val="32"/>
        </w:rPr>
      </w:pPr>
    </w:p>
    <w:p>
      <w:pPr>
        <w:adjustRightInd w:val="0"/>
        <w:spacing w:line="360" w:lineRule="auto"/>
        <w:jc w:val="center"/>
        <w:rPr>
          <w:rStyle w:val="12"/>
          <w:rFonts w:ascii="宋体" w:hAnsi="宋体"/>
          <w:sz w:val="32"/>
          <w:szCs w:val="32"/>
        </w:rPr>
      </w:pPr>
    </w:p>
    <w:p>
      <w:pPr>
        <w:adjustRightInd w:val="0"/>
        <w:spacing w:line="360" w:lineRule="auto"/>
        <w:jc w:val="center"/>
        <w:rPr>
          <w:rStyle w:val="12"/>
          <w:rFonts w:ascii="宋体" w:hAnsi="宋体" w:cs="Times New Roman"/>
          <w:sz w:val="32"/>
          <w:szCs w:val="32"/>
        </w:rPr>
      </w:pPr>
      <w:r>
        <w:rPr>
          <w:rStyle w:val="12"/>
          <w:rFonts w:hint="eastAsia" w:ascii="宋体" w:hAnsi="宋体" w:cs="Times New Roman"/>
          <w:sz w:val="32"/>
          <w:szCs w:val="32"/>
        </w:rPr>
        <w:t>日期</w:t>
      </w:r>
      <w:r>
        <w:rPr>
          <w:rStyle w:val="12"/>
          <w:rFonts w:ascii="宋体" w:hAnsi="宋体" w:cs="Times New Roman"/>
          <w:sz w:val="32"/>
          <w:szCs w:val="32"/>
        </w:rPr>
        <w:t>：</w:t>
      </w:r>
      <w:r>
        <w:rPr>
          <w:rStyle w:val="12"/>
          <w:rFonts w:hint="eastAsia" w:ascii="宋体" w:hAnsi="宋体" w:cs="Times New Roman"/>
          <w:sz w:val="32"/>
          <w:szCs w:val="32"/>
        </w:rPr>
        <w:t>【2024】年【10】月</w:t>
      </w:r>
    </w:p>
    <w:p>
      <w:pPr>
        <w:rPr>
          <w:rStyle w:val="12"/>
          <w:rFonts w:ascii="宋体" w:hAnsi="宋体"/>
          <w:sz w:val="32"/>
          <w:szCs w:val="32"/>
        </w:rPr>
      </w:pPr>
      <w:r>
        <w:rPr>
          <w:rStyle w:val="12"/>
          <w:rFonts w:ascii="宋体" w:hAnsi="宋体"/>
          <w:sz w:val="32"/>
          <w:szCs w:val="32"/>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19"/>
            <w:spacing w:line="360" w:lineRule="auto"/>
            <w:jc w:val="center"/>
          </w:pPr>
          <w:bookmarkStart w:id="66" w:name="_Toc78276587"/>
          <w:r>
            <w:rPr>
              <w:lang w:val="zh-CN"/>
            </w:rPr>
            <w:t>目录</w:t>
          </w:r>
        </w:p>
        <w:p>
          <w:pPr>
            <w:pStyle w:val="6"/>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"_Toc116984884" </w:instrText>
          </w:r>
          <w:r>
            <w:fldChar w:fldCharType="separate"/>
          </w:r>
          <w:r>
            <w:rPr>
              <w:rStyle w:val="14"/>
              <w:rFonts w:hint="eastAsia" w:ascii="Times New Roman"/>
            </w:rPr>
            <w:t>第一条</w:t>
          </w:r>
          <w:r>
            <w:rPr>
              <w:rStyle w:val="14"/>
              <w:rFonts w:ascii="Times New Roman"/>
            </w:rPr>
            <w:t xml:space="preserve">  </w:t>
          </w:r>
          <w:r>
            <w:rPr>
              <w:rStyle w:val="14"/>
              <w:rFonts w:hint="eastAsia" w:ascii="Times New Roman"/>
            </w:rPr>
            <w:t>释义</w:t>
          </w:r>
          <w:r>
            <w:tab/>
          </w:r>
          <w:r>
            <w:fldChar w:fldCharType="begin"/>
          </w:r>
          <w:r>
            <w:instrText xml:space="preserve"> PAGEREF _Toc116984884 \h </w:instrText>
          </w:r>
          <w:r>
            <w:fldChar w:fldCharType="separate"/>
          </w:r>
          <w:r>
            <w:t>21</w:t>
          </w:r>
          <w:r>
            <w:fldChar w:fldCharType="end"/>
          </w:r>
          <w:r>
            <w:fldChar w:fldCharType="end"/>
          </w:r>
        </w:p>
        <w:p>
          <w:pPr>
            <w:pStyle w:val="6"/>
            <w:rPr>
              <w:rFonts w:asciiTheme="minorHAnsi" w:hAnsiTheme="minorHAnsi" w:eastAsiaTheme="minorEastAsia" w:cstheme="minorBidi"/>
              <w:kern w:val="2"/>
              <w:sz w:val="21"/>
            </w:rPr>
          </w:pPr>
          <w:r>
            <w:fldChar w:fldCharType="begin"/>
          </w:r>
          <w:r>
            <w:instrText xml:space="preserve"> HYPERLINK \l "_Toc116984885" </w:instrText>
          </w:r>
          <w:r>
            <w:fldChar w:fldCharType="separate"/>
          </w:r>
          <w:r>
            <w:rPr>
              <w:rStyle w:val="14"/>
              <w:rFonts w:hint="eastAsia" w:hAnsi="宋体"/>
            </w:rPr>
            <w:t>第二条</w:t>
          </w:r>
          <w:r>
            <w:rPr>
              <w:rStyle w:val="14"/>
              <w:rFonts w:hAnsi="宋体"/>
            </w:rPr>
            <w:t xml:space="preserve">  </w:t>
          </w:r>
          <w:r>
            <w:rPr>
              <w:rStyle w:val="14"/>
              <w:rFonts w:hint="eastAsia" w:hAnsi="宋体"/>
            </w:rPr>
            <w:t>理财产品基本情况</w:t>
          </w:r>
          <w:r>
            <w:rPr>
              <w:rStyle w:val="14"/>
              <w:rFonts w:hAnsi="宋体"/>
            </w:rPr>
            <w:t xml:space="preserve"> </w:t>
          </w:r>
          <w:r>
            <w:tab/>
          </w:r>
          <w:r>
            <w:fldChar w:fldCharType="begin"/>
          </w:r>
          <w:r>
            <w:instrText xml:space="preserve"> PAGEREF _Toc116984885 \h </w:instrText>
          </w:r>
          <w:r>
            <w:fldChar w:fldCharType="separate"/>
          </w:r>
          <w:r>
            <w:t>27</w:t>
          </w:r>
          <w:r>
            <w:fldChar w:fldCharType="end"/>
          </w:r>
          <w:r>
            <w:fldChar w:fldCharType="end"/>
          </w:r>
        </w:p>
        <w:p>
          <w:pPr>
            <w:pStyle w:val="6"/>
            <w:rPr>
              <w:rFonts w:asciiTheme="minorHAnsi" w:hAnsiTheme="minorHAnsi" w:eastAsiaTheme="minorEastAsia" w:cstheme="minorBidi"/>
              <w:kern w:val="2"/>
              <w:sz w:val="21"/>
            </w:rPr>
          </w:pPr>
          <w:r>
            <w:fldChar w:fldCharType="begin"/>
          </w:r>
          <w:r>
            <w:instrText xml:space="preserve"> HYPERLINK \l "_Toc116984886" </w:instrText>
          </w:r>
          <w:r>
            <w:fldChar w:fldCharType="separate"/>
          </w:r>
          <w:r>
            <w:rPr>
              <w:rStyle w:val="14"/>
              <w:rFonts w:hint="eastAsia" w:ascii="Times New Roman"/>
            </w:rPr>
            <w:t>第三条</w:t>
          </w:r>
          <w:r>
            <w:rPr>
              <w:rStyle w:val="14"/>
              <w:rFonts w:ascii="Times New Roman"/>
            </w:rPr>
            <w:t xml:space="preserve">  </w:t>
          </w:r>
          <w:r>
            <w:rPr>
              <w:rStyle w:val="14"/>
              <w:rFonts w:hint="eastAsia" w:ascii="Times New Roman"/>
            </w:rPr>
            <w:t>理财产品的认购</w:t>
          </w:r>
          <w:r>
            <w:tab/>
          </w:r>
          <w:r>
            <w:fldChar w:fldCharType="begin"/>
          </w:r>
          <w:r>
            <w:instrText xml:space="preserve"> PAGEREF _Toc116984886 \h </w:instrText>
          </w:r>
          <w:r>
            <w:fldChar w:fldCharType="separate"/>
          </w:r>
          <w:r>
            <w:t>35</w:t>
          </w:r>
          <w:r>
            <w:fldChar w:fldCharType="end"/>
          </w:r>
          <w:r>
            <w:fldChar w:fldCharType="end"/>
          </w:r>
        </w:p>
        <w:p>
          <w:pPr>
            <w:pStyle w:val="6"/>
            <w:rPr>
              <w:rFonts w:asciiTheme="minorHAnsi" w:hAnsiTheme="minorHAnsi" w:eastAsiaTheme="minorEastAsia" w:cstheme="minorBidi"/>
              <w:kern w:val="2"/>
              <w:sz w:val="21"/>
            </w:rPr>
          </w:pPr>
          <w:r>
            <w:fldChar w:fldCharType="begin"/>
          </w:r>
          <w:r>
            <w:instrText xml:space="preserve"> HYPERLINK \l "_Toc116984887" </w:instrText>
          </w:r>
          <w:r>
            <w:fldChar w:fldCharType="separate"/>
          </w:r>
          <w:r>
            <w:rPr>
              <w:rStyle w:val="14"/>
              <w:rFonts w:hint="eastAsia" w:ascii="Times New Roman"/>
            </w:rPr>
            <w:t>第四条</w:t>
          </w:r>
          <w:r>
            <w:rPr>
              <w:rStyle w:val="14"/>
              <w:rFonts w:ascii="Times New Roman"/>
            </w:rPr>
            <w:t xml:space="preserve">  </w:t>
          </w:r>
          <w:r>
            <w:rPr>
              <w:rStyle w:val="14"/>
              <w:rFonts w:hint="eastAsia" w:ascii="Times New Roman"/>
            </w:rPr>
            <w:t>理财产品的申购与赎回</w:t>
          </w:r>
          <w:r>
            <w:tab/>
          </w:r>
          <w:r>
            <w:fldChar w:fldCharType="begin"/>
          </w:r>
          <w:r>
            <w:instrText xml:space="preserve"> PAGEREF _Toc116984887 \h </w:instrText>
          </w:r>
          <w:r>
            <w:fldChar w:fldCharType="separate"/>
          </w:r>
          <w:r>
            <w:t>37</w:t>
          </w:r>
          <w:r>
            <w:fldChar w:fldCharType="end"/>
          </w:r>
          <w:r>
            <w:fldChar w:fldCharType="end"/>
          </w:r>
        </w:p>
        <w:p>
          <w:pPr>
            <w:pStyle w:val="6"/>
            <w:rPr>
              <w:rFonts w:asciiTheme="minorHAnsi" w:hAnsiTheme="minorHAnsi" w:eastAsiaTheme="minorEastAsia" w:cstheme="minorBidi"/>
              <w:kern w:val="2"/>
              <w:sz w:val="21"/>
            </w:rPr>
          </w:pPr>
          <w:r>
            <w:fldChar w:fldCharType="begin"/>
          </w:r>
          <w:r>
            <w:instrText xml:space="preserve"> HYPERLINK \l "_Toc116984888" </w:instrText>
          </w:r>
          <w:r>
            <w:fldChar w:fldCharType="separate"/>
          </w:r>
          <w:r>
            <w:rPr>
              <w:rStyle w:val="14"/>
              <w:rFonts w:hint="eastAsia" w:ascii="Times New Roman"/>
            </w:rPr>
            <w:t>第五条</w:t>
          </w:r>
          <w:r>
            <w:rPr>
              <w:rStyle w:val="14"/>
              <w:rFonts w:ascii="Times New Roman"/>
            </w:rPr>
            <w:t xml:space="preserve">  </w:t>
          </w:r>
          <w:r>
            <w:rPr>
              <w:rStyle w:val="14"/>
              <w:rFonts w:hint="eastAsia" w:ascii="Times New Roman"/>
            </w:rPr>
            <w:t>理财产品的投资</w:t>
          </w:r>
          <w:r>
            <w:tab/>
          </w:r>
          <w:r>
            <w:fldChar w:fldCharType="begin"/>
          </w:r>
          <w:r>
            <w:instrText xml:space="preserve"> PAGEREF _Toc116984888 \h </w:instrText>
          </w:r>
          <w:r>
            <w:fldChar w:fldCharType="separate"/>
          </w:r>
          <w:r>
            <w:t>41</w:t>
          </w:r>
          <w:r>
            <w:fldChar w:fldCharType="end"/>
          </w:r>
          <w:r>
            <w:fldChar w:fldCharType="end"/>
          </w:r>
        </w:p>
        <w:p>
          <w:pPr>
            <w:pStyle w:val="6"/>
            <w:rPr>
              <w:rFonts w:asciiTheme="minorHAnsi" w:hAnsiTheme="minorHAnsi" w:eastAsiaTheme="minorEastAsia" w:cstheme="minorBidi"/>
              <w:kern w:val="2"/>
              <w:sz w:val="21"/>
            </w:rPr>
          </w:pPr>
          <w:r>
            <w:fldChar w:fldCharType="begin"/>
          </w:r>
          <w:r>
            <w:instrText xml:space="preserve"> HYPERLINK \l "_Toc116984889" </w:instrText>
          </w:r>
          <w:r>
            <w:fldChar w:fldCharType="separate"/>
          </w:r>
          <w:r>
            <w:rPr>
              <w:rStyle w:val="14"/>
              <w:rFonts w:hint="eastAsia" w:ascii="Times New Roman"/>
            </w:rPr>
            <w:t>第六条</w:t>
          </w:r>
          <w:r>
            <w:rPr>
              <w:rStyle w:val="14"/>
              <w:rFonts w:ascii="Times New Roman"/>
            </w:rPr>
            <w:t xml:space="preserve">  </w:t>
          </w:r>
          <w:r>
            <w:rPr>
              <w:rStyle w:val="14"/>
              <w:rFonts w:hint="eastAsia" w:ascii="Times New Roman"/>
            </w:rPr>
            <w:t>理财产品的资产</w:t>
          </w:r>
          <w:r>
            <w:tab/>
          </w:r>
          <w:r>
            <w:fldChar w:fldCharType="begin"/>
          </w:r>
          <w:r>
            <w:instrText xml:space="preserve"> PAGEREF _Toc116984889 \h </w:instrText>
          </w:r>
          <w:r>
            <w:fldChar w:fldCharType="separate"/>
          </w:r>
          <w:r>
            <w:t>44</w:t>
          </w:r>
          <w:r>
            <w:fldChar w:fldCharType="end"/>
          </w:r>
          <w:r>
            <w:fldChar w:fldCharType="end"/>
          </w:r>
        </w:p>
        <w:p>
          <w:pPr>
            <w:pStyle w:val="6"/>
            <w:rPr>
              <w:rFonts w:asciiTheme="minorHAnsi" w:hAnsiTheme="minorHAnsi" w:eastAsiaTheme="minorEastAsia" w:cstheme="minorBidi"/>
              <w:kern w:val="2"/>
              <w:sz w:val="21"/>
            </w:rPr>
          </w:pPr>
          <w:r>
            <w:fldChar w:fldCharType="begin"/>
          </w:r>
          <w:r>
            <w:instrText xml:space="preserve"> HYPERLINK \l "_Toc116984890" </w:instrText>
          </w:r>
          <w:r>
            <w:fldChar w:fldCharType="separate"/>
          </w:r>
          <w:r>
            <w:rPr>
              <w:rStyle w:val="14"/>
              <w:rFonts w:hint="eastAsia" w:ascii="Times New Roman"/>
            </w:rPr>
            <w:t>第七条</w:t>
          </w:r>
          <w:r>
            <w:rPr>
              <w:rStyle w:val="14"/>
              <w:rFonts w:ascii="Times New Roman"/>
            </w:rPr>
            <w:t xml:space="preserve">  </w:t>
          </w:r>
          <w:r>
            <w:rPr>
              <w:rStyle w:val="14"/>
              <w:rFonts w:hint="eastAsia" w:ascii="Times New Roman"/>
            </w:rPr>
            <w:t>理财产品项下资产的估值</w:t>
          </w:r>
          <w:r>
            <w:tab/>
          </w:r>
          <w:r>
            <w:fldChar w:fldCharType="begin"/>
          </w:r>
          <w:r>
            <w:instrText xml:space="preserve"> PAGEREF _Toc116984890 \h </w:instrText>
          </w:r>
          <w:r>
            <w:fldChar w:fldCharType="separate"/>
          </w:r>
          <w:r>
            <w:t>45</w:t>
          </w:r>
          <w:r>
            <w:fldChar w:fldCharType="end"/>
          </w:r>
          <w:r>
            <w:fldChar w:fldCharType="end"/>
          </w:r>
        </w:p>
        <w:p>
          <w:pPr>
            <w:pStyle w:val="6"/>
            <w:rPr>
              <w:rFonts w:asciiTheme="minorHAnsi" w:hAnsiTheme="minorHAnsi" w:eastAsiaTheme="minorEastAsia" w:cstheme="minorBidi"/>
              <w:kern w:val="2"/>
              <w:sz w:val="21"/>
            </w:rPr>
          </w:pPr>
          <w:r>
            <w:fldChar w:fldCharType="begin"/>
          </w:r>
          <w:r>
            <w:instrText xml:space="preserve"> HYPERLINK \l "_Toc116984891" </w:instrText>
          </w:r>
          <w:r>
            <w:fldChar w:fldCharType="separate"/>
          </w:r>
          <w:r>
            <w:rPr>
              <w:rStyle w:val="14"/>
              <w:rFonts w:hint="eastAsia" w:ascii="Times New Roman"/>
            </w:rPr>
            <w:t>第八条</w:t>
          </w:r>
          <w:r>
            <w:rPr>
              <w:rStyle w:val="14"/>
              <w:rFonts w:ascii="Times New Roman"/>
            </w:rPr>
            <w:t xml:space="preserve">  </w:t>
          </w:r>
          <w:r>
            <w:rPr>
              <w:rStyle w:val="14"/>
              <w:rFonts w:hint="eastAsia" w:ascii="Times New Roman"/>
            </w:rPr>
            <w:t>理财产品的利益分配</w:t>
          </w:r>
          <w:r>
            <w:tab/>
          </w:r>
          <w:r>
            <w:fldChar w:fldCharType="begin"/>
          </w:r>
          <w:r>
            <w:instrText xml:space="preserve"> PAGEREF _Toc116984891 \h </w:instrText>
          </w:r>
          <w:r>
            <w:fldChar w:fldCharType="separate"/>
          </w:r>
          <w:r>
            <w:t>49</w:t>
          </w:r>
          <w:r>
            <w:fldChar w:fldCharType="end"/>
          </w:r>
          <w:r>
            <w:fldChar w:fldCharType="end"/>
          </w:r>
        </w:p>
        <w:p>
          <w:pPr>
            <w:pStyle w:val="6"/>
            <w:rPr>
              <w:rFonts w:asciiTheme="minorHAnsi" w:hAnsiTheme="minorHAnsi" w:eastAsiaTheme="minorEastAsia" w:cstheme="minorBidi"/>
              <w:kern w:val="2"/>
              <w:sz w:val="21"/>
            </w:rPr>
          </w:pPr>
          <w:r>
            <w:fldChar w:fldCharType="begin"/>
          </w:r>
          <w:r>
            <w:instrText xml:space="preserve"> HYPERLINK \l "_Toc116984892" </w:instrText>
          </w:r>
          <w:r>
            <w:fldChar w:fldCharType="separate"/>
          </w:r>
          <w:r>
            <w:rPr>
              <w:rStyle w:val="14"/>
              <w:rFonts w:hint="eastAsia" w:ascii="Times New Roman"/>
            </w:rPr>
            <w:t>第九条</w:t>
          </w:r>
          <w:r>
            <w:rPr>
              <w:rStyle w:val="14"/>
              <w:rFonts w:ascii="Times New Roman"/>
            </w:rPr>
            <w:t xml:space="preserve">  </w:t>
          </w:r>
          <w:r>
            <w:rPr>
              <w:rStyle w:val="14"/>
              <w:rFonts w:hint="eastAsia" w:ascii="Times New Roman"/>
            </w:rPr>
            <w:t>理财产品的费用与税收</w:t>
          </w:r>
          <w:r>
            <w:tab/>
          </w:r>
          <w:r>
            <w:fldChar w:fldCharType="begin"/>
          </w:r>
          <w:r>
            <w:instrText xml:space="preserve"> PAGEREF _Toc116984892 \h </w:instrText>
          </w:r>
          <w:r>
            <w:fldChar w:fldCharType="separate"/>
          </w:r>
          <w:r>
            <w:t>50</w:t>
          </w:r>
          <w:r>
            <w:fldChar w:fldCharType="end"/>
          </w:r>
          <w:r>
            <w:fldChar w:fldCharType="end"/>
          </w:r>
        </w:p>
        <w:p>
          <w:pPr>
            <w:pStyle w:val="6"/>
            <w:rPr>
              <w:rFonts w:asciiTheme="minorHAnsi" w:hAnsiTheme="minorHAnsi" w:eastAsiaTheme="minorEastAsia" w:cstheme="minorBidi"/>
              <w:kern w:val="2"/>
              <w:sz w:val="21"/>
            </w:rPr>
          </w:pPr>
          <w:r>
            <w:fldChar w:fldCharType="begin"/>
          </w:r>
          <w:r>
            <w:instrText xml:space="preserve"> HYPERLINK \l "_Toc116984893" </w:instrText>
          </w:r>
          <w:r>
            <w:fldChar w:fldCharType="separate"/>
          </w:r>
          <w:r>
            <w:rPr>
              <w:rStyle w:val="14"/>
              <w:rFonts w:hint="eastAsia"/>
            </w:rPr>
            <w:t>第十条</w:t>
          </w:r>
          <w:r>
            <w:rPr>
              <w:rStyle w:val="14"/>
            </w:rPr>
            <w:t xml:space="preserve">  </w:t>
          </w:r>
          <w:r>
            <w:rPr>
              <w:rStyle w:val="14"/>
              <w:rFonts w:hint="eastAsia"/>
            </w:rPr>
            <w:t>理财产品的终止与清算</w:t>
          </w:r>
          <w:r>
            <w:tab/>
          </w:r>
          <w:r>
            <w:fldChar w:fldCharType="begin"/>
          </w:r>
          <w:r>
            <w:instrText xml:space="preserve"> PAGEREF _Toc116984893 \h </w:instrText>
          </w:r>
          <w:r>
            <w:fldChar w:fldCharType="separate"/>
          </w:r>
          <w:r>
            <w:t>53</w:t>
          </w:r>
          <w:r>
            <w:fldChar w:fldCharType="end"/>
          </w:r>
          <w:r>
            <w:fldChar w:fldCharType="end"/>
          </w:r>
        </w:p>
        <w:p>
          <w:pPr>
            <w:pStyle w:val="6"/>
            <w:rPr>
              <w:rFonts w:asciiTheme="minorHAnsi" w:hAnsiTheme="minorHAnsi" w:eastAsiaTheme="minorEastAsia" w:cstheme="minorBidi"/>
              <w:kern w:val="2"/>
              <w:sz w:val="21"/>
            </w:rPr>
          </w:pPr>
          <w:r>
            <w:fldChar w:fldCharType="begin"/>
          </w:r>
          <w:r>
            <w:instrText xml:space="preserve"> HYPERLINK \l "_Toc116984894" </w:instrText>
          </w:r>
          <w:r>
            <w:fldChar w:fldCharType="separate"/>
          </w:r>
          <w:r>
            <w:rPr>
              <w:rStyle w:val="14"/>
              <w:rFonts w:hint="eastAsia" w:ascii="Times New Roman"/>
            </w:rPr>
            <w:t>第十一条</w:t>
          </w:r>
          <w:r>
            <w:rPr>
              <w:rStyle w:val="14"/>
              <w:rFonts w:ascii="Times New Roman"/>
            </w:rPr>
            <w:t xml:space="preserve">  </w:t>
          </w:r>
          <w:r>
            <w:rPr>
              <w:rStyle w:val="14"/>
              <w:rFonts w:hint="eastAsia" w:ascii="Times New Roman"/>
            </w:rPr>
            <w:t>理财产品的信息披露</w:t>
          </w:r>
          <w:r>
            <w:tab/>
          </w:r>
          <w:r>
            <w:fldChar w:fldCharType="begin"/>
          </w:r>
          <w:r>
            <w:instrText xml:space="preserve"> PAGEREF _Toc116984894 \h </w:instrText>
          </w:r>
          <w:r>
            <w:fldChar w:fldCharType="separate"/>
          </w:r>
          <w:r>
            <w:t>55</w:t>
          </w:r>
          <w:r>
            <w:fldChar w:fldCharType="end"/>
          </w:r>
          <w:r>
            <w:fldChar w:fldCharType="end"/>
          </w:r>
        </w:p>
        <w:p>
          <w:pPr>
            <w:pStyle w:val="6"/>
            <w:rPr>
              <w:rFonts w:asciiTheme="minorHAnsi" w:hAnsiTheme="minorHAnsi" w:eastAsiaTheme="minorEastAsia" w:cstheme="minorBidi"/>
              <w:kern w:val="2"/>
              <w:sz w:val="21"/>
            </w:rPr>
          </w:pPr>
          <w:r>
            <w:fldChar w:fldCharType="begin"/>
          </w:r>
          <w:r>
            <w:instrText xml:space="preserve"> HYPERLINK \l "_Toc116984895" </w:instrText>
          </w:r>
          <w:r>
            <w:fldChar w:fldCharType="separate"/>
          </w:r>
          <w:r>
            <w:rPr>
              <w:rStyle w:val="14"/>
              <w:rFonts w:hint="eastAsia" w:ascii="Times New Roman"/>
            </w:rPr>
            <w:t>第十二条</w:t>
          </w:r>
          <w:r>
            <w:rPr>
              <w:rStyle w:val="14"/>
              <w:rFonts w:ascii="Times New Roman"/>
            </w:rPr>
            <w:t xml:space="preserve">  </w:t>
          </w:r>
          <w:r>
            <w:rPr>
              <w:rStyle w:val="14"/>
              <w:rFonts w:hint="eastAsia" w:ascii="Times New Roman"/>
            </w:rPr>
            <w:t>理财产品的风险揭示</w:t>
          </w:r>
          <w:r>
            <w:tab/>
          </w:r>
          <w:r>
            <w:fldChar w:fldCharType="begin"/>
          </w:r>
          <w:r>
            <w:instrText xml:space="preserve"> PAGEREF _Toc116984895 \h </w:instrText>
          </w:r>
          <w:r>
            <w:fldChar w:fldCharType="separate"/>
          </w:r>
          <w:r>
            <w:t>58</w:t>
          </w:r>
          <w:r>
            <w:fldChar w:fldCharType="end"/>
          </w:r>
          <w:r>
            <w:fldChar w:fldCharType="end"/>
          </w:r>
        </w:p>
        <w:p>
          <w:pPr>
            <w:spacing w:line="360" w:lineRule="auto"/>
          </w:pPr>
          <w:r>
            <w:fldChar w:fldCharType="end"/>
          </w:r>
        </w:p>
      </w:sdtContent>
    </w:sdt>
    <w:p>
      <w:pPr>
        <w:rPr>
          <w:rFonts w:ascii="Times New Roman"/>
          <w:sz w:val="30"/>
        </w:rPr>
      </w:pPr>
      <w:r>
        <w:rPr>
          <w:rFonts w:ascii="Times New Roman"/>
          <w:sz w:val="30"/>
        </w:rPr>
        <w:br w:type="page"/>
      </w:r>
    </w:p>
    <w:p>
      <w:pPr>
        <w:widowControl/>
        <w:spacing w:line="360" w:lineRule="auto"/>
        <w:jc w:val="left"/>
        <w:rPr>
          <w:rFonts w:ascii="Times New Roman"/>
          <w:sz w:val="30"/>
        </w:rPr>
      </w:pPr>
    </w:p>
    <w:p>
      <w:pPr>
        <w:pStyle w:val="2"/>
        <w:spacing w:before="0" w:after="0" w:line="360" w:lineRule="auto"/>
        <w:jc w:val="center"/>
        <w:rPr>
          <w:rFonts w:ascii="Times New Roman"/>
          <w:sz w:val="30"/>
        </w:rPr>
      </w:pPr>
      <w:bookmarkStart w:id="67" w:name="_Toc92377130"/>
      <w:bookmarkStart w:id="68" w:name="_Toc116984884"/>
      <w:r>
        <w:rPr>
          <w:rFonts w:ascii="Times New Roman"/>
          <w:sz w:val="30"/>
        </w:rPr>
        <w:t>第</w:t>
      </w:r>
      <w:r>
        <w:rPr>
          <w:rFonts w:hint="eastAsia" w:ascii="Times New Roman"/>
          <w:sz w:val="30"/>
        </w:rPr>
        <w:t xml:space="preserve">一条 </w:t>
      </w:r>
      <w:r>
        <w:rPr>
          <w:rFonts w:ascii="Times New Roman"/>
          <w:sz w:val="30"/>
        </w:rPr>
        <w:t xml:space="preserve"> 释义</w:t>
      </w:r>
      <w:bookmarkEnd w:id="66"/>
      <w:bookmarkEnd w:id="67"/>
      <w:bookmarkEnd w:id="68"/>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18"/>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r>
        <w:rPr>
          <w:rFonts w:asciiTheme="majorEastAsia" w:hAnsiTheme="majorEastAsia" w:eastAsiaTheme="majorEastAsia"/>
          <w:bCs/>
          <w:color w:val="auto"/>
          <w:sz w:val="18"/>
          <w:szCs w:val="18"/>
        </w:rPr>
        <w:t xml:space="preserve"> </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18"/>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监管部门</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18"/>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投资者：指符合相关法律法规、监管规定要求的，可以购买理财产品份额的自然人和法人。</w:t>
      </w:r>
      <w:r>
        <w:rPr>
          <w:rFonts w:asciiTheme="majorEastAsia" w:hAnsiTheme="majorEastAsia" w:eastAsiaTheme="majorEastAsia"/>
          <w:bCs/>
          <w:sz w:val="18"/>
          <w:szCs w:val="18"/>
        </w:rPr>
        <w:t xml:space="preserve"> </w:t>
      </w:r>
    </w:p>
    <w:p>
      <w:pPr>
        <w:pStyle w:val="18"/>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18"/>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18"/>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18"/>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18"/>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18"/>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：指产品管理人向投资者提供的，用于描述产品特征，约定权利义务的文件。具体指《兴银理财【天天万利宝稳利净值型】理财产品销售文件》，包括《投资协议书》、《产品说明书》、《（代理）销售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18"/>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《投资协议书》：指管理人统一编制的《兴银理财【天天万利宝稳利净值型】理财产品投资协议书》，以及对该文件的有效修改或补充。</w:t>
      </w:r>
    </w:p>
    <w:p>
      <w:pPr>
        <w:pStyle w:val="18"/>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）《产品说明书》：指管理人统一编制的《兴银理财【天天万利宝稳利净值型】理财产品产品说明书》，以及对该文件的有效修改或补充。</w:t>
      </w:r>
    </w:p>
    <w:p>
      <w:pPr>
        <w:pStyle w:val="18"/>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（4）《（代理）销售协议书》：指管理人统一编制的《兴银理财【天天万利宝稳利净值型】理财产品（代理）销售协议书》或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的《兴银理财【天天万利宝稳利净值型】理财产品（代理）销售协议书》（文件名称以代理销售机构实际编制为准），以及对该文件的有效修改或补充。</w:t>
      </w:r>
    </w:p>
    <w:p>
      <w:pPr>
        <w:pStyle w:val="18"/>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）《风险揭示书》：指管理人统一编制的《兴银理财【天天万利宝稳利净值型】理财产品风险揭示书》或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的《兴银理财【天天万利宝稳利净值型】理财产品风险揭示书》（文件名称以代理销售机构实际编制为准），以及对该文件的有效修改或补充。</w:t>
      </w:r>
    </w:p>
    <w:p>
      <w:pPr>
        <w:pStyle w:val="18"/>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）《投资者权益须知》：指管理人统一编制的《兴银理财【天天万利宝稳利净值型】理财产品投资者权益须知》或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《兴银理财【天天万利宝稳利净值型】理财产品投资者权益须知》（文件名称以代理销售机构实际编制为准），以及对该文件的有效修改或补充。</w:t>
      </w:r>
    </w:p>
    <w:p>
      <w:pPr>
        <w:pStyle w:val="18"/>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，为在理财产品销售管理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，为每类份额类别</w:t>
      </w:r>
      <w:r>
        <w:rPr>
          <w:rFonts w:asciiTheme="majorEastAsia" w:hAnsiTheme="majorEastAsia" w:eastAsiaTheme="majorEastAsia"/>
          <w:bCs/>
          <w:color w:val="auto"/>
          <w:sz w:val="18"/>
          <w:szCs w:val="18"/>
        </w:rPr>
        <w:t>设置</w:t>
      </w:r>
      <w:r>
        <w:rPr>
          <w:rFonts w:hint="eastAsia" w:asciiTheme="majorEastAsia" w:hAnsiTheme="majorEastAsia" w:eastAsiaTheme="majorEastAsia"/>
          <w:bCs/>
          <w:color w:val="auto"/>
          <w:sz w:val="18"/>
          <w:szCs w:val="18"/>
        </w:rPr>
        <w:t>的唯一性内部识别码。若本款理财产品不设置差异化产品份额类别，理财产品代码即为理财产品销售代码。</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18"/>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18"/>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10</w:t>
      </w:r>
      <w:r>
        <w:rPr>
          <w:rFonts w:hint="eastAsia" w:asciiTheme="majorEastAsia" w:hAnsiTheme="majorEastAsia" w:eastAsiaTheme="majorEastAsia"/>
          <w:bCs/>
          <w:color w:val="auto"/>
          <w:sz w:val="18"/>
          <w:szCs w:val="18"/>
        </w:rPr>
        <w:t>）理财产品估值：指计算评估理财产品资产和理财产品负债的价值，以确定理财产品份额净值的过程。</w:t>
      </w:r>
    </w:p>
    <w:p>
      <w:pPr>
        <w:pStyle w:val="18"/>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sz w:val="18"/>
        </w:rPr>
        <w:t>不</w:t>
      </w:r>
      <w:r>
        <w:rPr>
          <w:rFonts w:hint="eastAsia" w:ascii="黑体" w:hAnsi="黑体" w:eastAsia="黑体"/>
          <w:bCs/>
          <w:sz w:val="18"/>
          <w:szCs w:val="18"/>
        </w:rPr>
        <w:t>构成对</w:t>
      </w:r>
      <w:r>
        <w:rPr>
          <w:rFonts w:hint="eastAsia" w:ascii="黑体" w:hAnsi="黑体"/>
          <w:sz w:val="18"/>
        </w:rPr>
        <w:t>产品收益的</w:t>
      </w:r>
      <w:r>
        <w:rPr>
          <w:rFonts w:hint="eastAsia" w:ascii="黑体" w:hAnsi="黑体" w:eastAsia="黑体"/>
          <w:bCs/>
          <w:sz w:val="18"/>
          <w:szCs w:val="18"/>
        </w:rPr>
        <w:t>承诺</w:t>
      </w:r>
      <w:r>
        <w:rPr>
          <w:rFonts w:hint="eastAsia" w:ascii="黑体" w:hAnsi="黑体"/>
          <w:sz w:val="18"/>
        </w:rPr>
        <w:t>，</w:t>
      </w:r>
      <w:r>
        <w:rPr>
          <w:rFonts w:hint="eastAsia" w:ascii="黑体" w:hAnsi="黑体" w:eastAsia="黑体"/>
          <w:bCs/>
          <w:color w:val="auto"/>
          <w:sz w:val="18"/>
          <w:szCs w:val="18"/>
        </w:rPr>
        <w:t>投资须谨慎。</w:t>
      </w:r>
    </w:p>
    <w:p>
      <w:pPr>
        <w:pStyle w:val="18"/>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13</w:t>
      </w:r>
      <w:r>
        <w:rPr>
          <w:rFonts w:hint="eastAsia" w:asciiTheme="majorEastAsia" w:hAnsiTheme="majorEastAsia" w:eastAsiaTheme="majorEastAsia"/>
          <w:bCs/>
          <w:color w:val="auto"/>
          <w:sz w:val="18"/>
          <w:szCs w:val="18"/>
        </w:rPr>
        <w:t>）理财产品利益/理财利益：指投资者因持有理财产品份额，按照销售文件约定取得或有权取得的理财产品管理人分配的理财产品资产。</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14）利益分配：指产品管理人向投资者进行理财产品利益分配。 </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15）期间分配：指在理财产品终止日（不含当日）前的理财产品利益分配。 </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16）终止分配：指在理财产品终止日当日及之后的理财产品利益分配。</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17</w:t>
      </w:r>
      <w:r>
        <w:rPr>
          <w:rFonts w:hint="eastAsia" w:asciiTheme="majorEastAsia" w:hAnsiTheme="majorEastAsia" w:eastAsiaTheme="majorEastAsia"/>
          <w:bCs/>
          <w:color w:val="auto"/>
          <w:sz w:val="18"/>
          <w:szCs w:val="18"/>
        </w:rPr>
        <w:t>）认购：指投资者根据本销售文件约定在认购期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18"/>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18"/>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18"/>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18"/>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18"/>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20</w:t>
      </w:r>
      <w:r>
        <w:rPr>
          <w:rFonts w:hint="eastAsia" w:asciiTheme="minorEastAsia" w:hAnsiTheme="minorEastAsia" w:eastAsiaTheme="minorEastAsia"/>
          <w:color w:val="auto"/>
          <w:sz w:val="18"/>
          <w:szCs w:val="18"/>
        </w:rPr>
        <w:t>）</w:t>
      </w:r>
      <w:r>
        <w:rPr>
          <w:rFonts w:hint="eastAsia" w:ascii="黑体" w:hAnsi="黑体" w:eastAsia="黑体" w:cs="仿宋_GB2312"/>
          <w:bCs/>
          <w:color w:val="auto"/>
          <w:sz w:val="18"/>
          <w:szCs w:val="18"/>
        </w:rPr>
        <w:t>★</w:t>
      </w:r>
      <w:r>
        <w:rPr>
          <w:rFonts w:hint="eastAsia" w:asciiTheme="minorEastAsia" w:hAnsiTheme="minorEastAsia" w:eastAsiaTheme="minorEastAsia"/>
          <w:color w:val="auto"/>
          <w:sz w:val="18"/>
          <w:szCs w:val="18"/>
        </w:rPr>
        <w:t>预约申购</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指投资者在一段特定期间内提交预约申购申请，该预约申购申请在销售文件约定的申购申请日内自动转化为正式的申购申请。</w:t>
      </w:r>
      <w:r>
        <w:rPr>
          <w:rFonts w:asciiTheme="minorEastAsia" w:hAnsiTheme="minorEastAsia" w:eastAsiaTheme="minorEastAsia"/>
          <w:bCs/>
          <w:color w:val="auto"/>
          <w:sz w:val="18"/>
          <w:szCs w:val="18"/>
        </w:rPr>
        <w:t>提交预约申购</w:t>
      </w:r>
      <w:r>
        <w:rPr>
          <w:rFonts w:hint="eastAsia" w:asciiTheme="minorEastAsia" w:hAnsiTheme="minorEastAsia" w:eastAsiaTheme="minorEastAsia"/>
          <w:bCs/>
          <w:color w:val="auto"/>
          <w:sz w:val="18"/>
          <w:szCs w:val="18"/>
        </w:rPr>
        <w:t>申请</w:t>
      </w:r>
      <w:r>
        <w:rPr>
          <w:rFonts w:asciiTheme="minorEastAsia" w:hAnsiTheme="minorEastAsia" w:eastAsiaTheme="minorEastAsia"/>
          <w:bCs/>
          <w:color w:val="auto"/>
          <w:sz w:val="18"/>
          <w:szCs w:val="18"/>
        </w:rPr>
        <w:t>并不代表申购成功，产品管理人将在申购确认日确认投资者是否申购成功</w:t>
      </w:r>
      <w:r>
        <w:rPr>
          <w:rFonts w:hint="eastAsia" w:asciiTheme="minorEastAsia" w:hAnsiTheme="minorEastAsia" w:eastAsiaTheme="minorEastAsia"/>
          <w:bCs/>
          <w:color w:val="auto"/>
          <w:sz w:val="18"/>
          <w:szCs w:val="18"/>
        </w:rPr>
        <w:t>。</w:t>
      </w:r>
    </w:p>
    <w:p>
      <w:pPr>
        <w:spacing w:line="360" w:lineRule="auto"/>
        <w:ind w:right="-107" w:rightChars="-51" w:firstLine="360" w:firstLineChars="200"/>
        <w:rPr>
          <w:rFonts w:asciiTheme="minorEastAsia" w:hAnsiTheme="minorEastAsia" w:eastAsiaTheme="minorEastAsia"/>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21</w:t>
      </w:r>
      <w:r>
        <w:rPr>
          <w:rFonts w:hint="eastAsia" w:asciiTheme="minorEastAsia" w:hAnsiTheme="minorEastAsia" w:eastAsiaTheme="minorEastAsia"/>
          <w:sz w:val="18"/>
          <w:szCs w:val="18"/>
        </w:rPr>
        <w:t>）</w:t>
      </w:r>
      <w:r>
        <w:rPr>
          <w:rFonts w:hint="eastAsia" w:ascii="黑体" w:hAnsi="黑体" w:eastAsia="黑体" w:cs="仿宋_GB2312"/>
          <w:bCs/>
          <w:sz w:val="18"/>
          <w:szCs w:val="18"/>
        </w:rPr>
        <w:t>★</w:t>
      </w:r>
      <w:r>
        <w:rPr>
          <w:rFonts w:hint="eastAsia" w:asciiTheme="minorEastAsia" w:hAnsiTheme="minorEastAsia" w:eastAsiaTheme="minorEastAsia"/>
          <w:sz w:val="18"/>
          <w:szCs w:val="18"/>
        </w:rPr>
        <w:t>预约赎回</w:t>
      </w:r>
      <w:r>
        <w:rPr>
          <w:rFonts w:asciiTheme="minorEastAsia" w:hAnsiTheme="minorEastAsia" w:eastAsiaTheme="minorEastAsia"/>
          <w:sz w:val="18"/>
          <w:szCs w:val="18"/>
        </w:rPr>
        <w:t>:</w:t>
      </w:r>
      <w:r>
        <w:rPr>
          <w:rFonts w:hint="eastAsia" w:asciiTheme="minorEastAsia" w:hAnsiTheme="minorEastAsia" w:eastAsiaTheme="minorEastAsia"/>
          <w:sz w:val="18"/>
          <w:szCs w:val="18"/>
        </w:rPr>
        <w:t>指投资者在一段特定期间内提交预约赎回申请，该预约赎回申请在销售文件约定的赎回申请日内自动转化为正式的赎回申请。</w:t>
      </w:r>
      <w:r>
        <w:rPr>
          <w:rFonts w:asciiTheme="majorEastAsia" w:hAnsiTheme="majorEastAsia" w:eastAsiaTheme="majorEastAsia"/>
          <w:bCs/>
          <w:sz w:val="18"/>
          <w:szCs w:val="18"/>
        </w:rPr>
        <w:t>提交预约赎回</w:t>
      </w:r>
      <w:r>
        <w:rPr>
          <w:rFonts w:hint="eastAsia" w:asciiTheme="majorEastAsia" w:hAnsiTheme="majorEastAsia" w:eastAsiaTheme="majorEastAsia"/>
          <w:bCs/>
          <w:sz w:val="18"/>
          <w:szCs w:val="18"/>
        </w:rPr>
        <w:t>申请</w:t>
      </w:r>
      <w:r>
        <w:rPr>
          <w:rFonts w:asciiTheme="majorEastAsia" w:hAnsiTheme="majorEastAsia" w:eastAsiaTheme="majorEastAsia"/>
          <w:bCs/>
          <w:sz w:val="18"/>
          <w:szCs w:val="18"/>
        </w:rPr>
        <w:t>并不代表赎回成功，产品管理人将在赎回确认日确认投资者是否赎回成功</w:t>
      </w:r>
      <w:r>
        <w:rPr>
          <w:rFonts w:hint="eastAsia" w:asciiTheme="majorEastAsia" w:hAnsiTheme="majorEastAsia" w:eastAsiaTheme="majorEastAsia"/>
          <w:bCs/>
          <w:sz w:val="18"/>
          <w:szCs w:val="18"/>
        </w:rPr>
        <w:t>。</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22</w:t>
      </w:r>
      <w:r>
        <w:rPr>
          <w:rFonts w:hint="eastAsia" w:asciiTheme="majorEastAsia" w:hAnsiTheme="majorEastAsia" w:eastAsiaTheme="majorEastAsia"/>
          <w:bCs/>
          <w:color w:val="auto"/>
          <w:sz w:val="18"/>
          <w:szCs w:val="18"/>
        </w:rPr>
        <w:t>）巨额赎回：在本理财产品预约赎回期中，本产品的累计产品份额净预约赎回申请（预约赎回申请总份额扣除预约申购总份额后的余额</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下同）之和达到赎回日上一日产品总份额的约定百分比，为巨额赎回。</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23）摆动定价机制：是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24）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25）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pPr>
        <w:pStyle w:val="18"/>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18"/>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18"/>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18"/>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18"/>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18"/>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18"/>
        <w:spacing w:line="360" w:lineRule="auto"/>
        <w:ind w:firstLine="360" w:firstLineChars="200"/>
        <w:rPr>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18"/>
        <w:spacing w:line="360" w:lineRule="auto"/>
        <w:ind w:firstLine="360" w:firstLineChars="200"/>
        <w:rPr>
          <w:rFonts w:cs="仿宋_GB2312" w:asciiTheme="majorEastAsia" w:hAnsiTheme="majorEastAsia" w:eastAsiaTheme="majorEastAsia"/>
          <w:color w:val="auto"/>
          <w:sz w:val="18"/>
          <w:szCs w:val="18"/>
        </w:rPr>
      </w:pPr>
      <w:r>
        <w:rPr>
          <w:rFonts w:hint="eastAsia" w:asciiTheme="majorEastAsia" w:hAnsiTheme="majorEastAsia" w:eastAsiaTheme="majorEastAsia"/>
          <w:bCs/>
          <w:color w:val="auto"/>
          <w:sz w:val="18"/>
          <w:szCs w:val="18"/>
        </w:rPr>
        <w:t>（11）★投资周期：投资周期指</w:t>
      </w:r>
      <w:r>
        <w:rPr>
          <w:rFonts w:hint="eastAsia" w:asciiTheme="minorEastAsia" w:hAnsiTheme="minorEastAsia" w:eastAsiaTheme="minorEastAsia"/>
          <w:bCs/>
          <w:color w:val="auto"/>
          <w:sz w:val="18"/>
          <w:szCs w:val="18"/>
        </w:rPr>
        <w:t>投资者</w:t>
      </w:r>
      <w:r>
        <w:rPr>
          <w:rFonts w:asciiTheme="minorEastAsia" w:hAnsiTheme="minorEastAsia" w:eastAsiaTheme="minorEastAsia"/>
          <w:bCs/>
          <w:color w:val="auto"/>
          <w:sz w:val="18"/>
          <w:szCs w:val="18"/>
        </w:rPr>
        <w:t>持有理财产品份额</w:t>
      </w:r>
      <w:r>
        <w:rPr>
          <w:rFonts w:hint="eastAsia" w:asciiTheme="minorEastAsia" w:hAnsiTheme="minorEastAsia" w:eastAsiaTheme="minorEastAsia"/>
          <w:bCs/>
          <w:color w:val="auto"/>
          <w:sz w:val="18"/>
          <w:szCs w:val="18"/>
        </w:rPr>
        <w:t>所对应的理财资金由产品管理人进行投资运作的一段完整期间，</w:t>
      </w:r>
      <w:r>
        <w:rPr>
          <w:rFonts w:hint="eastAsia" w:asciiTheme="majorEastAsia" w:hAnsiTheme="majorEastAsia" w:eastAsiaTheme="majorEastAsia"/>
          <w:bCs/>
          <w:color w:val="auto"/>
          <w:sz w:val="18"/>
          <w:szCs w:val="18"/>
        </w:rPr>
        <w:t>每一个投资周期</w:t>
      </w:r>
      <w:r>
        <w:rPr>
          <w:rFonts w:hint="eastAsia" w:cs="仿宋_GB2312" w:asciiTheme="majorEastAsia" w:hAnsiTheme="majorEastAsia" w:eastAsiaTheme="majorEastAsia"/>
          <w:color w:val="auto"/>
          <w:sz w:val="18"/>
          <w:szCs w:val="18"/>
        </w:rPr>
        <w:t>为该</w:t>
      </w:r>
      <w:r>
        <w:rPr>
          <w:rFonts w:hint="eastAsia" w:asciiTheme="majorEastAsia" w:hAnsiTheme="majorEastAsia" w:eastAsiaTheme="majorEastAsia"/>
          <w:bCs/>
          <w:color w:val="auto"/>
          <w:sz w:val="18"/>
          <w:szCs w:val="18"/>
        </w:rPr>
        <w:t>投资周期起始日</w:t>
      </w:r>
      <w:r>
        <w:rPr>
          <w:rFonts w:hint="eastAsia" w:cs="仿宋_GB2312" w:asciiTheme="majorEastAsia" w:hAnsiTheme="majorEastAsia" w:eastAsiaTheme="majorEastAsia"/>
          <w:color w:val="auto"/>
          <w:sz w:val="18"/>
          <w:szCs w:val="18"/>
        </w:rPr>
        <w:t>至该</w:t>
      </w:r>
      <w:r>
        <w:rPr>
          <w:rFonts w:hint="eastAsia" w:asciiTheme="majorEastAsia" w:hAnsiTheme="majorEastAsia" w:eastAsiaTheme="majorEastAsia"/>
          <w:bCs/>
          <w:color w:val="auto"/>
          <w:sz w:val="18"/>
          <w:szCs w:val="18"/>
        </w:rPr>
        <w:t>投资周期</w:t>
      </w:r>
      <w:r>
        <w:rPr>
          <w:rFonts w:hint="eastAsia" w:cs="仿宋_GB2312" w:asciiTheme="majorEastAsia" w:hAnsiTheme="majorEastAsia" w:eastAsiaTheme="majorEastAsia"/>
          <w:color w:val="auto"/>
          <w:sz w:val="18"/>
          <w:szCs w:val="18"/>
        </w:rPr>
        <w:t>终止日的理财期间。</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投资周期起始日：指每一个投资周期开始的日期。</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投资周期终止日：指每一个投资周期结束的日期。</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（12）产品存续期：指自理财产品成立日起，至理财产品终止日的期间。</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（13）预约申购期：指投资者可以提交预约申购申请</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 xml:space="preserve">一段特定时间。 </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（14</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预约</w:t>
      </w:r>
      <w:r>
        <w:rPr>
          <w:rFonts w:asciiTheme="majorEastAsia" w:hAnsiTheme="majorEastAsia" w:eastAsiaTheme="majorEastAsia"/>
          <w:bCs/>
          <w:color w:val="auto"/>
          <w:sz w:val="18"/>
          <w:szCs w:val="18"/>
        </w:rPr>
        <w:t>赎回期</w:t>
      </w:r>
      <w:r>
        <w:rPr>
          <w:rFonts w:hint="eastAsia" w:asciiTheme="majorEastAsia" w:hAnsiTheme="majorEastAsia" w:eastAsiaTheme="majorEastAsia"/>
          <w:bCs/>
          <w:color w:val="auto"/>
          <w:sz w:val="18"/>
          <w:szCs w:val="18"/>
        </w:rPr>
        <w:t>：指投资者可以提交预约赎回申请的一段特定时间。</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5</w:t>
      </w:r>
      <w:r>
        <w:rPr>
          <w:rFonts w:hint="eastAsia" w:asciiTheme="majorEastAsia" w:hAnsiTheme="majorEastAsia" w:eastAsiaTheme="majorEastAsia"/>
          <w:bCs/>
          <w:color w:val="auto"/>
          <w:sz w:val="18"/>
          <w:szCs w:val="18"/>
        </w:rPr>
        <w:t>）预约申购申请日：指投资者在预约申购期内任意一日提出预约申购申请的当日。</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）预约赎回申请日：指投资者在预约</w:t>
      </w:r>
      <w:r>
        <w:rPr>
          <w:rFonts w:asciiTheme="majorEastAsia" w:hAnsiTheme="majorEastAsia" w:eastAsiaTheme="majorEastAsia"/>
          <w:bCs/>
          <w:color w:val="auto"/>
          <w:sz w:val="18"/>
          <w:szCs w:val="18"/>
        </w:rPr>
        <w:t>赎回</w:t>
      </w:r>
      <w:r>
        <w:rPr>
          <w:rFonts w:hint="eastAsia" w:asciiTheme="majorEastAsia" w:hAnsiTheme="majorEastAsia" w:eastAsiaTheme="majorEastAsia"/>
          <w:bCs/>
          <w:color w:val="auto"/>
          <w:sz w:val="18"/>
          <w:szCs w:val="18"/>
        </w:rPr>
        <w:t>期内任意一日提出预约赎回申请的当日。</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）申购申请日：指投资者做出申购申请的当日。</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）赎回申请日：指投资者做出赎回申请的当日。</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）申购日：指产品管理人接受投资者申购申请的当日。</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20</w:t>
      </w:r>
      <w:r>
        <w:rPr>
          <w:rFonts w:hint="eastAsia" w:asciiTheme="majorEastAsia" w:hAnsiTheme="majorEastAsia" w:eastAsiaTheme="majorEastAsia"/>
          <w:bCs/>
          <w:color w:val="auto"/>
          <w:sz w:val="18"/>
          <w:szCs w:val="18"/>
        </w:rPr>
        <w:t>）赎回日：指产品管理人接受投资者赎回申请的当日。</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）申购确认日：指产品管理人确认投资者申购</w:t>
      </w:r>
      <w:r>
        <w:rPr>
          <w:rFonts w:asciiTheme="majorEastAsia" w:hAnsiTheme="majorEastAsia" w:eastAsiaTheme="majorEastAsia"/>
          <w:bCs/>
          <w:color w:val="auto"/>
          <w:sz w:val="18"/>
          <w:szCs w:val="18"/>
        </w:rPr>
        <w:t>申请有效性</w:t>
      </w:r>
      <w:r>
        <w:rPr>
          <w:rFonts w:hint="eastAsia" w:asciiTheme="majorEastAsia" w:hAnsiTheme="majorEastAsia" w:eastAsiaTheme="majorEastAsia"/>
          <w:bCs/>
          <w:color w:val="auto"/>
          <w:sz w:val="18"/>
          <w:szCs w:val="18"/>
        </w:rPr>
        <w:t>的当日。</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）赎回确认日：指产品管理人确认投资者赎回</w:t>
      </w:r>
      <w:r>
        <w:rPr>
          <w:rFonts w:asciiTheme="majorEastAsia" w:hAnsiTheme="majorEastAsia" w:eastAsiaTheme="majorEastAsia"/>
          <w:bCs/>
          <w:color w:val="auto"/>
          <w:sz w:val="18"/>
          <w:szCs w:val="18"/>
        </w:rPr>
        <w:t>申请有效性</w:t>
      </w:r>
      <w:r>
        <w:rPr>
          <w:rFonts w:hint="eastAsia" w:asciiTheme="majorEastAsia" w:hAnsiTheme="majorEastAsia" w:eastAsiaTheme="majorEastAsia"/>
          <w:bCs/>
          <w:color w:val="auto"/>
          <w:sz w:val="18"/>
          <w:szCs w:val="18"/>
        </w:rPr>
        <w:t>的当日。</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23</w:t>
      </w:r>
      <w:r>
        <w:rPr>
          <w:rFonts w:hint="eastAsia" w:asciiTheme="majorEastAsia" w:hAnsiTheme="majorEastAsia" w:eastAsiaTheme="majorEastAsia"/>
          <w:bCs/>
          <w:color w:val="auto"/>
          <w:sz w:val="18"/>
          <w:szCs w:val="18"/>
        </w:rPr>
        <w:t>）清算期：指自本理财产品终止日至投资者理财利益到账日之间的期间。</w:t>
      </w:r>
    </w:p>
    <w:p>
      <w:pPr>
        <w:pStyle w:val="18"/>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18"/>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（2）</w:t>
      </w:r>
      <w:r>
        <w:rPr>
          <w:rFonts w:hint="eastAsia" w:ascii="黑体" w:hAnsi="黑体" w:eastAsia="黑体" w:cs="仿宋_GB2312"/>
          <w:bCs/>
          <w:sz w:val="18"/>
          <w:szCs w:val="18"/>
        </w:rPr>
        <w:t>★</w:t>
      </w:r>
      <w:r>
        <w:rPr>
          <w:rFonts w:ascii="宋体" w:hAnsi="宋体"/>
          <w:kern w:val="0"/>
          <w:sz w:val="18"/>
          <w:szCs w:val="18"/>
        </w:rPr>
        <w:t>申购费：</w:t>
      </w:r>
      <w:r>
        <w:rPr>
          <w:rFonts w:hint="eastAsia" w:ascii="宋体" w:hAnsi="宋体"/>
          <w:kern w:val="0"/>
          <w:sz w:val="18"/>
          <w:szCs w:val="18"/>
        </w:rPr>
        <w:t>指</w:t>
      </w:r>
      <w:r>
        <w:rPr>
          <w:rFonts w:ascii="宋体" w:hAnsi="宋体"/>
          <w:kern w:val="0"/>
          <w:sz w:val="18"/>
          <w:szCs w:val="18"/>
        </w:rPr>
        <w:t>投资者申购产品时</w:t>
      </w:r>
      <w:r>
        <w:rPr>
          <w:rFonts w:hint="eastAsia" w:ascii="宋体" w:hAnsi="宋体"/>
          <w:kern w:val="0"/>
          <w:sz w:val="18"/>
          <w:szCs w:val="18"/>
        </w:rPr>
        <w:t>需缴纳的费用。</w:t>
      </w:r>
    </w:p>
    <w:p>
      <w:pPr>
        <w:pStyle w:val="18"/>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赎回费：指投资者赎回产品时需缴纳的费用。</w:t>
      </w:r>
    </w:p>
    <w:p>
      <w:pPr>
        <w:pStyle w:val="18"/>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销售服务费：指因理财产品销售行为产生的费用。</w:t>
      </w:r>
    </w:p>
    <w:p>
      <w:pPr>
        <w:pStyle w:val="18"/>
        <w:spacing w:line="360" w:lineRule="auto"/>
        <w:ind w:firstLine="360" w:firstLineChars="200"/>
        <w:rPr>
          <w:rFonts w:hAnsi="宋体"/>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18"/>
        <w:spacing w:line="360" w:lineRule="auto"/>
        <w:ind w:firstLine="360" w:firstLineChars="200"/>
        <w:rPr>
          <w:rFonts w:hAnsi="宋体"/>
          <w:sz w:val="18"/>
          <w:szCs w:val="18"/>
        </w:rPr>
      </w:pPr>
      <w:r>
        <w:rPr>
          <w:rFonts w:hint="eastAsia" w:hAnsi="宋体"/>
          <w:sz w:val="18"/>
          <w:szCs w:val="18"/>
        </w:rPr>
        <w:t>（6）</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18"/>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（7）</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18"/>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）国家金融监督管理总局：为免歧义，原中国银行业监督管理委员会、原中国银行保险监督管理委员会与国家金融监督管理总局均统称为“国家金融监督管理总局”。</w:t>
      </w:r>
    </w:p>
    <w:p>
      <w:pPr>
        <w:spacing w:line="360" w:lineRule="auto"/>
        <w:ind w:firstLine="360" w:firstLineChars="200"/>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）适用法律：指在理财销售文件签署日和履行过程中，适用中华人民共和国法律（为本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p>
    <w:p>
      <w:pPr>
        <w:widowControl/>
        <w:spacing w:line="360" w:lineRule="auto"/>
        <w:jc w:val="left"/>
        <w:rPr>
          <w:rFonts w:ascii="宋体" w:hAnsi="宋体"/>
          <w:color w:val="000000"/>
          <w:kern w:val="0"/>
          <w:sz w:val="28"/>
          <w:szCs w:val="28"/>
        </w:rPr>
      </w:pPr>
      <w:r>
        <w:rPr>
          <w:rFonts w:hAnsi="宋体"/>
          <w:sz w:val="28"/>
          <w:szCs w:val="28"/>
        </w:rPr>
        <w:br w:type="page"/>
      </w:r>
    </w:p>
    <w:p>
      <w:pPr>
        <w:pStyle w:val="2"/>
        <w:spacing w:before="0" w:after="0" w:line="360" w:lineRule="auto"/>
        <w:jc w:val="center"/>
        <w:rPr>
          <w:rFonts w:hAnsi="宋体"/>
          <w:sz w:val="28"/>
          <w:szCs w:val="28"/>
        </w:rPr>
      </w:pPr>
      <w:bookmarkStart w:id="69" w:name="_Toc79154665"/>
      <w:bookmarkStart w:id="70" w:name="_Toc92377131"/>
      <w:bookmarkStart w:id="71" w:name="_Toc116984885"/>
      <w:r>
        <w:rPr>
          <w:rFonts w:hint="eastAsia" w:hAnsi="宋体"/>
          <w:sz w:val="28"/>
          <w:szCs w:val="28"/>
        </w:rPr>
        <w:t>第二条  理财产品基本情况</w:t>
      </w:r>
      <w:bookmarkEnd w:id="69"/>
      <w:bookmarkEnd w:id="70"/>
      <w:r>
        <w:rPr>
          <w:rFonts w:hint="eastAsia" w:hAnsi="宋体"/>
          <w:sz w:val="28"/>
          <w:szCs w:val="28"/>
        </w:rPr>
        <w:t xml:space="preserve"> </w:t>
      </w:r>
      <w:bookmarkEnd w:id="71"/>
    </w:p>
    <w:tbl>
      <w:tblPr>
        <w:tblStyle w:val="9"/>
        <w:tblW w:w="9649"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45"/>
        <w:gridCol w:w="770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401"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理财产品名称</w:t>
            </w:r>
          </w:p>
        </w:tc>
        <w:tc>
          <w:tcPr>
            <w:tcW w:w="7704" w:type="dxa"/>
            <w:shd w:val="solid" w:color="FFFFFF" w:fill="FFFFFF"/>
          </w:tcPr>
          <w:p>
            <w:pPr>
              <w:spacing w:line="360" w:lineRule="auto"/>
              <w:jc w:val="left"/>
              <w:rPr>
                <w:rFonts w:ascii="宋体" w:hAnsi="宋体"/>
                <w:bCs/>
                <w:sz w:val="18"/>
                <w:szCs w:val="18"/>
              </w:rPr>
            </w:pPr>
            <w:r>
              <w:rPr>
                <w:rFonts w:hint="eastAsia" w:ascii="宋体" w:hAnsi="宋体"/>
                <w:bCs/>
                <w:sz w:val="18"/>
                <w:szCs w:val="18"/>
              </w:rPr>
              <w:t>【兴业银行天天万利宝稳利2号净值型理财产品G款】</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704"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【稳利恒盈</w:t>
            </w:r>
            <w:r>
              <w:rPr>
                <w:rFonts w:ascii="宋体" w:hAnsi="宋体"/>
                <w:bCs/>
                <w:sz w:val="18"/>
                <w:szCs w:val="18"/>
              </w:rPr>
              <w:t>G</w:t>
            </w:r>
            <w:r>
              <w:rPr>
                <w:rFonts w:hint="eastAsia" w:ascii="宋体" w:hAnsi="宋体"/>
                <w:bCs/>
                <w:sz w:val="18"/>
                <w:szCs w:val="18"/>
              </w:rPr>
              <w:t xml:space="preserve"> 6个月】</w:t>
            </w:r>
            <w:r>
              <w:rPr>
                <w:rFonts w:hint="eastAsia" w:ascii="宋体" w:hAnsi="宋体"/>
                <w:bCs/>
                <w:color w:val="000000" w:themeColor="text1"/>
                <w:sz w:val="18"/>
                <w:szCs w:val="18"/>
                <w14:textFill>
                  <w14:solidFill>
                    <w14:schemeClr w14:val="tx1"/>
                  </w14:solidFill>
                </w14:textFill>
              </w:rPr>
              <w:t>（适用【A】类份额）</w:t>
            </w:r>
          </w:p>
          <w:p>
            <w:pPr>
              <w:spacing w:line="360" w:lineRule="auto"/>
              <w:jc w:val="left"/>
              <w:rPr>
                <w:rFonts w:ascii="宋体" w:hAnsi="宋体"/>
                <w:bCs/>
                <w:color w:val="000000" w:themeColor="text1"/>
                <w:sz w:val="18"/>
                <w:szCs w:val="18"/>
                <w14:textFill>
                  <w14:solidFill>
                    <w14:schemeClr w14:val="tx1"/>
                  </w14:solidFill>
                </w14:textFill>
              </w:rPr>
            </w:pPr>
            <w:r>
              <w:rPr>
                <w:rFonts w:hint="eastAsia" w:ascii="宋体" w:hAnsi="宋体"/>
                <w:bCs/>
                <w:sz w:val="18"/>
                <w:szCs w:val="18"/>
              </w:rPr>
              <w:t>【稳利恒盈</w:t>
            </w:r>
            <w:r>
              <w:rPr>
                <w:rFonts w:ascii="宋体" w:hAnsi="宋体"/>
                <w:bCs/>
                <w:sz w:val="18"/>
                <w:szCs w:val="18"/>
              </w:rPr>
              <w:t>G</w:t>
            </w:r>
            <w:r>
              <w:rPr>
                <w:rFonts w:hint="eastAsia" w:ascii="宋体" w:hAnsi="宋体"/>
                <w:bCs/>
                <w:sz w:val="18"/>
                <w:szCs w:val="18"/>
              </w:rPr>
              <w:t xml:space="preserve"> 6个月B】</w:t>
            </w:r>
            <w:r>
              <w:rPr>
                <w:rFonts w:hint="eastAsia" w:ascii="宋体" w:hAnsi="宋体"/>
                <w:bCs/>
                <w:color w:val="000000" w:themeColor="text1"/>
                <w:sz w:val="18"/>
                <w:szCs w:val="18"/>
                <w14:textFill>
                  <w14:solidFill>
                    <w14:schemeClr w14:val="tx1"/>
                  </w14:solidFill>
                </w14:textFill>
              </w:rPr>
              <w:t>（适用【B】类份额）</w:t>
            </w:r>
          </w:p>
          <w:p>
            <w:pPr>
              <w:spacing w:line="360" w:lineRule="auto"/>
              <w:jc w:val="left"/>
              <w:rPr>
                <w:rFonts w:ascii="宋体" w:hAnsi="宋体"/>
                <w:bCs/>
                <w:color w:val="000000" w:themeColor="text1"/>
                <w:sz w:val="18"/>
                <w:szCs w:val="18"/>
                <w14:textFill>
                  <w14:solidFill>
                    <w14:schemeClr w14:val="tx1"/>
                  </w14:solidFill>
                </w14:textFill>
              </w:rPr>
            </w:pPr>
            <w:r>
              <w:rPr>
                <w:rFonts w:hint="eastAsia" w:ascii="宋体" w:hAnsi="宋体"/>
                <w:bCs/>
                <w:sz w:val="18"/>
                <w:szCs w:val="18"/>
              </w:rPr>
              <w:t>【稳利恒盈</w:t>
            </w:r>
            <w:r>
              <w:rPr>
                <w:rFonts w:ascii="宋体" w:hAnsi="宋体"/>
                <w:bCs/>
                <w:sz w:val="18"/>
                <w:szCs w:val="18"/>
              </w:rPr>
              <w:t>G</w:t>
            </w:r>
            <w:r>
              <w:rPr>
                <w:rFonts w:hint="eastAsia" w:ascii="宋体" w:hAnsi="宋体"/>
                <w:bCs/>
                <w:sz w:val="18"/>
                <w:szCs w:val="18"/>
              </w:rPr>
              <w:t xml:space="preserve"> 6个月</w:t>
            </w:r>
            <w:r>
              <w:rPr>
                <w:rFonts w:ascii="宋体" w:hAnsi="宋体"/>
                <w:bCs/>
                <w:sz w:val="18"/>
                <w:szCs w:val="18"/>
              </w:rPr>
              <w:t>（</w:t>
            </w:r>
            <w:r>
              <w:rPr>
                <w:rFonts w:hint="eastAsia" w:ascii="宋体" w:hAnsi="宋体"/>
                <w:bCs/>
                <w:sz w:val="18"/>
                <w:szCs w:val="18"/>
              </w:rPr>
              <w:t>惠享款）】</w:t>
            </w:r>
            <w:r>
              <w:rPr>
                <w:rFonts w:hint="eastAsia" w:ascii="宋体" w:hAnsi="宋体"/>
                <w:bCs/>
                <w:color w:val="000000" w:themeColor="text1"/>
                <w:sz w:val="18"/>
                <w:szCs w:val="18"/>
                <w14:textFill>
                  <w14:solidFill>
                    <w14:schemeClr w14:val="tx1"/>
                  </w14:solidFill>
                </w14:textFill>
              </w:rPr>
              <w:t>（适用【</w:t>
            </w:r>
            <w:r>
              <w:rPr>
                <w:rFonts w:ascii="宋体" w:hAnsi="宋体"/>
                <w:bCs/>
                <w:color w:val="000000" w:themeColor="text1"/>
                <w:sz w:val="18"/>
                <w:szCs w:val="18"/>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704" w:type="dxa"/>
            <w:shd w:val="solid" w:color="FFFFFF" w:fill="FFFFFF"/>
          </w:tcPr>
          <w:p>
            <w:pPr>
              <w:spacing w:line="360" w:lineRule="auto"/>
              <w:jc w:val="left"/>
              <w:rPr>
                <w:rFonts w:ascii="宋体" w:hAnsi="宋体"/>
                <w:b/>
                <w:sz w:val="18"/>
                <w:szCs w:val="18"/>
              </w:rPr>
            </w:pPr>
            <w:r>
              <w:rPr>
                <w:rFonts w:hint="eastAsia" w:ascii="宋体" w:hAnsi="宋体"/>
                <w:bCs/>
                <w:sz w:val="18"/>
                <w:szCs w:val="18"/>
              </w:rPr>
              <w:t>【</w:t>
            </w:r>
            <w:r>
              <w:rPr>
                <w:rFonts w:ascii="宋体" w:hAnsi="宋体"/>
                <w:bCs/>
                <w:sz w:val="18"/>
                <w:szCs w:val="18"/>
              </w:rPr>
              <w:t>Z7002020000024</w:t>
            </w:r>
            <w:r>
              <w:rPr>
                <w:rFonts w:hint="eastAsia" w:ascii="宋体" w:hAnsi="宋体"/>
                <w:bCs/>
                <w:sz w:val="18"/>
                <w:szCs w:val="18"/>
              </w:rPr>
              <w:t>】注：投资者可依据理财产品登记编码在中国理财网查询产品信息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704" w:type="dxa"/>
            <w:shd w:val="solid" w:color="FFFFFF" w:fill="FFFFFF"/>
            <w:vAlign w:val="center"/>
          </w:tcPr>
          <w:p>
            <w:pPr>
              <w:spacing w:line="360" w:lineRule="auto"/>
              <w:jc w:val="left"/>
              <w:rPr>
                <w:rFonts w:ascii="宋体" w:hAnsi="宋体"/>
                <w:bCs/>
                <w:sz w:val="18"/>
                <w:szCs w:val="18"/>
              </w:rPr>
            </w:pPr>
            <w:r>
              <w:rPr>
                <w:rFonts w:ascii="宋体" w:hAnsi="宋体"/>
                <w:bCs/>
                <w:color w:val="000000" w:themeColor="text1"/>
                <w:sz w:val="18"/>
                <w:szCs w:val="18"/>
                <w14:textFill>
                  <w14:solidFill>
                    <w14:schemeClr w14:val="tx1"/>
                  </w14:solidFill>
                </w14:textFill>
              </w:rPr>
              <w:t>【9K218024】</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704"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w:t>
            </w:r>
            <w:r>
              <w:rPr>
                <w:rFonts w:ascii="宋体" w:hAnsi="宋体"/>
                <w:bCs/>
                <w:sz w:val="18"/>
                <w:szCs w:val="18"/>
              </w:rPr>
              <w:t>9K218024</w:t>
            </w:r>
            <w:r>
              <w:rPr>
                <w:rFonts w:hint="eastAsia" w:ascii="宋体" w:hAnsi="宋体"/>
                <w:bCs/>
                <w:sz w:val="18"/>
                <w:szCs w:val="18"/>
              </w:rPr>
              <w:t>】（适用【A】类份额）</w:t>
            </w:r>
          </w:p>
          <w:p>
            <w:pPr>
              <w:spacing w:line="360" w:lineRule="auto"/>
              <w:jc w:val="left"/>
              <w:rPr>
                <w:rFonts w:ascii="宋体" w:hAnsi="宋体"/>
                <w:bCs/>
                <w:sz w:val="18"/>
                <w:szCs w:val="18"/>
              </w:rPr>
            </w:pPr>
            <w:r>
              <w:rPr>
                <w:rFonts w:hint="eastAsia" w:ascii="宋体" w:hAnsi="宋体"/>
                <w:bCs/>
                <w:sz w:val="18"/>
                <w:szCs w:val="18"/>
              </w:rPr>
              <w:t>【</w:t>
            </w:r>
            <w:r>
              <w:rPr>
                <w:rFonts w:ascii="宋体" w:hAnsi="宋体"/>
                <w:bCs/>
                <w:sz w:val="18"/>
                <w:szCs w:val="18"/>
              </w:rPr>
              <w:t>9K218124</w:t>
            </w:r>
            <w:r>
              <w:rPr>
                <w:rFonts w:hint="eastAsia" w:ascii="宋体" w:hAnsi="宋体"/>
                <w:bCs/>
                <w:sz w:val="18"/>
                <w:szCs w:val="18"/>
              </w:rPr>
              <w:t>】（适用【B】类份额）</w:t>
            </w:r>
          </w:p>
          <w:p>
            <w:pPr>
              <w:spacing w:line="360" w:lineRule="auto"/>
              <w:jc w:val="left"/>
              <w:rPr>
                <w:rFonts w:ascii="宋体" w:hAnsi="宋体"/>
                <w:bCs/>
                <w:sz w:val="18"/>
                <w:szCs w:val="18"/>
              </w:rPr>
            </w:pPr>
            <w:r>
              <w:rPr>
                <w:rFonts w:hint="eastAsia" w:ascii="宋体" w:hAnsi="宋体"/>
                <w:bCs/>
                <w:sz w:val="18"/>
                <w:szCs w:val="18"/>
              </w:rPr>
              <w:t>【</w:t>
            </w:r>
            <w:r>
              <w:rPr>
                <w:rFonts w:ascii="宋体" w:hAnsi="宋体"/>
                <w:bCs/>
                <w:sz w:val="18"/>
                <w:szCs w:val="18"/>
              </w:rPr>
              <w:t>9K218224</w:t>
            </w:r>
            <w:r>
              <w:rPr>
                <w:rFonts w:hint="eastAsia" w:ascii="宋体" w:hAnsi="宋体"/>
                <w:bCs/>
                <w:sz w:val="18"/>
                <w:szCs w:val="18"/>
              </w:rPr>
              <w:t>】（适用【</w:t>
            </w:r>
            <w:r>
              <w:rPr>
                <w:rFonts w:ascii="宋体" w:hAnsi="宋体"/>
                <w:bCs/>
                <w:sz w:val="18"/>
                <w:szCs w:val="18"/>
              </w:rPr>
              <w:t>C</w:t>
            </w:r>
            <w:r>
              <w:rPr>
                <w:rFonts w:hint="eastAsia" w:ascii="宋体" w:hAnsi="宋体"/>
                <w:bCs/>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70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.本产品设置不同的理财产品份额，每类理财产品份额以下内容可能单独设置：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704" w:type="dxa"/>
            <w:shd w:val="solid" w:color="FFFFFF" w:fill="FFFFFF"/>
            <w:vAlign w:val="center"/>
          </w:tcPr>
          <w:p>
            <w:pPr>
              <w:adjustRightInd w:val="0"/>
              <w:snapToGrid w:val="0"/>
              <w:spacing w:line="276" w:lineRule="auto"/>
              <w:rPr>
                <w:rFonts w:ascii="宋体" w:hAnsi="宋体"/>
                <w:bCs/>
                <w:sz w:val="18"/>
                <w:szCs w:val="18"/>
              </w:rPr>
            </w:pPr>
            <w:r>
              <w:rPr>
                <w:rFonts w:hint="eastAsia" w:asciiTheme="majorEastAsia" w:hAnsiTheme="majorEastAsia" w:eastAsiaTheme="majorEastAsia"/>
                <w:sz w:val="18"/>
                <w:szCs w:val="18"/>
              </w:rPr>
              <w:t>公募</w:t>
            </w:r>
            <w:r>
              <w:rPr>
                <w:rFonts w:hint="eastAsia" w:ascii="宋体" w:hAnsi="宋体"/>
                <w:bCs/>
                <w:sz w:val="18"/>
                <w:szCs w:val="18"/>
              </w:rPr>
              <w:t>、开放式、固定收益类、非保本浮动</w:t>
            </w:r>
            <w:r>
              <w:rPr>
                <w:rFonts w:ascii="宋体" w:hAnsi="宋体"/>
                <w:bCs/>
                <w:sz w:val="18"/>
                <w:szCs w:val="18"/>
              </w:rPr>
              <w:t>收益</w:t>
            </w:r>
            <w:r>
              <w:rPr>
                <w:rFonts w:hint="eastAsia" w:ascii="宋体" w:hAnsi="宋体"/>
                <w:bCs/>
                <w:sz w:val="18"/>
                <w:szCs w:val="18"/>
              </w:rPr>
              <w:t>、净值型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70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70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开放式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产品投资性质</w:t>
            </w:r>
          </w:p>
        </w:tc>
        <w:tc>
          <w:tcPr>
            <w:tcW w:w="7704" w:type="dxa"/>
            <w:shd w:val="solid" w:color="FFFFFF" w:fill="FFFFFF"/>
            <w:vAlign w:val="center"/>
          </w:tcPr>
          <w:p>
            <w:pPr>
              <w:adjustRightInd w:val="0"/>
              <w:snapToGrid w:val="0"/>
              <w:spacing w:line="276"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Theme="majorEastAsia" w:hAnsiTheme="majorEastAsia" w:eastAsiaTheme="majorEastAsia"/>
                <w:b/>
                <w:color w:val="000000" w:themeColor="text1"/>
                <w:sz w:val="18"/>
                <w:szCs w:val="18"/>
                <w14:textFill>
                  <w14:solidFill>
                    <w14:schemeClr w14:val="tx1"/>
                  </w14:solidFill>
                </w14:textFill>
              </w:rPr>
              <w:t>固定收益类</w:t>
            </w:r>
          </w:p>
          <w:p>
            <w:pPr>
              <w:adjustRightInd w:val="0"/>
              <w:snapToGrid w:val="0"/>
              <w:spacing w:line="360" w:lineRule="auto"/>
              <w:rPr>
                <w:rFonts w:ascii="宋体" w:hAnsi="宋体"/>
                <w:bCs/>
                <w:sz w:val="18"/>
                <w:szCs w:val="18"/>
              </w:rPr>
            </w:pPr>
            <w:r>
              <w:rPr>
                <w:rFonts w:hint="eastAsia" w:asciiTheme="majorEastAsia" w:hAnsiTheme="majorEastAsia" w:eastAsiaTheme="majorEastAsia"/>
                <w:sz w:val="18"/>
                <w:szCs w:val="18"/>
              </w:rPr>
              <w:t>固定</w:t>
            </w:r>
            <w:r>
              <w:rPr>
                <w:rFonts w:asciiTheme="majorEastAsia" w:hAnsiTheme="majorEastAsia" w:eastAsiaTheme="majorEastAsia"/>
                <w:sz w:val="18"/>
                <w:szCs w:val="18"/>
              </w:rPr>
              <w:t>收益</w:t>
            </w:r>
            <w:r>
              <w:rPr>
                <w:rFonts w:hint="eastAsia" w:asciiTheme="majorEastAsia" w:hAnsiTheme="majorEastAsia" w:eastAsiaTheme="majorEastAsia"/>
                <w:sz w:val="18"/>
                <w:szCs w:val="18"/>
              </w:rPr>
              <w:t>类</w:t>
            </w:r>
            <w:r>
              <w:rPr>
                <w:rFonts w:asciiTheme="majorEastAsia" w:hAnsiTheme="majorEastAsia" w:eastAsiaTheme="majorEastAsia"/>
                <w:sz w:val="18"/>
                <w:szCs w:val="18"/>
              </w:rPr>
              <w:t>产品是指根据监管</w:t>
            </w:r>
            <w:r>
              <w:rPr>
                <w:rFonts w:hint="eastAsia" w:asciiTheme="majorEastAsia" w:hAnsiTheme="majorEastAsia" w:eastAsiaTheme="majorEastAsia"/>
                <w:sz w:val="18"/>
                <w:szCs w:val="18"/>
              </w:rPr>
              <w:t>相关规定</w:t>
            </w:r>
            <w:r>
              <w:rPr>
                <w:rFonts w:asciiTheme="majorEastAsia" w:hAnsiTheme="majorEastAsia" w:eastAsiaTheme="majorEastAsia"/>
                <w:sz w:val="18"/>
                <w:szCs w:val="18"/>
              </w:rPr>
              <w:t>，投资于</w:t>
            </w:r>
            <w:r>
              <w:rPr>
                <w:rFonts w:hint="eastAsia" w:asciiTheme="majorEastAsia" w:hAnsiTheme="majorEastAsia" w:eastAsiaTheme="majorEastAsia"/>
                <w:sz w:val="18"/>
                <w:szCs w:val="18"/>
              </w:rPr>
              <w:t>存款</w:t>
            </w:r>
            <w:r>
              <w:rPr>
                <w:rFonts w:asciiTheme="majorEastAsia" w:hAnsiTheme="majorEastAsia" w:eastAsiaTheme="majorEastAsia"/>
                <w:sz w:val="18"/>
                <w:szCs w:val="18"/>
              </w:rPr>
              <w:t>、债券等债权类资产的</w:t>
            </w:r>
            <w:r>
              <w:rPr>
                <w:rFonts w:hint="eastAsia" w:asciiTheme="majorEastAsia" w:hAnsiTheme="majorEastAsia" w:eastAsiaTheme="majorEastAsia"/>
                <w:sz w:val="18"/>
                <w:szCs w:val="18"/>
              </w:rPr>
              <w:t>比例</w:t>
            </w:r>
            <w:r>
              <w:rPr>
                <w:rFonts w:asciiTheme="majorEastAsia" w:hAnsiTheme="majorEastAsia" w:eastAsiaTheme="majorEastAsia"/>
                <w:sz w:val="18"/>
                <w:szCs w:val="18"/>
              </w:rPr>
              <w:t>不低于80%的产品</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704" w:type="dxa"/>
            <w:shd w:val="solid" w:color="FFFFFF" w:fill="FFFFFF"/>
            <w:vAlign w:val="center"/>
          </w:tcPr>
          <w:p>
            <w:pPr>
              <w:adjustRightInd w:val="0"/>
              <w:snapToGrid w:val="0"/>
              <w:spacing w:line="360" w:lineRule="auto"/>
              <w:rPr>
                <w:rFonts w:asciiTheme="majorEastAsia" w:hAnsiTheme="majorEastAsia" w:eastAsiaTheme="majorEastAsia"/>
                <w:b/>
                <w:sz w:val="18"/>
                <w:szCs w:val="18"/>
              </w:rPr>
            </w:pPr>
            <w:r>
              <w:rPr>
                <w:rFonts w:hint="eastAsia" w:asciiTheme="majorEastAsia" w:hAnsiTheme="majorEastAsia" w:eastAsiaTheme="majorEastAsia"/>
                <w:b/>
                <w:sz w:val="18"/>
                <w:szCs w:val="18"/>
              </w:rPr>
              <w:t>非保本浮动收益</w:t>
            </w:r>
          </w:p>
          <w:p>
            <w:pPr>
              <w:adjustRightInd w:val="0"/>
              <w:snapToGrid w:val="0"/>
              <w:spacing w:line="360" w:lineRule="auto"/>
              <w:rPr>
                <w:rFonts w:asciiTheme="majorEastAsia" w:hAnsiTheme="majorEastAsia" w:eastAsiaTheme="majorEastAsia"/>
                <w:sz w:val="18"/>
                <w:szCs w:val="18"/>
              </w:rPr>
            </w:pPr>
            <w:r>
              <w:rPr>
                <w:rFonts w:hint="eastAsia" w:asciiTheme="majorEastAsia" w:hAnsiTheme="majorEastAsia" w:eastAsiaTheme="majorEastAsia"/>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宋体" w:hAnsi="宋体"/>
                <w:b/>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70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704"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本产品属于【□ </w:t>
            </w:r>
            <w:r>
              <w:rPr>
                <w:rFonts w:asciiTheme="majorEastAsia" w:hAnsiTheme="majorEastAsia" w:eastAsiaTheme="majorEastAsia"/>
                <w:bCs/>
                <w:sz w:val="18"/>
                <w:szCs w:val="18"/>
              </w:rPr>
              <w:t>R1、</w:t>
            </w:r>
            <w:r>
              <w:rPr>
                <w:rFonts w:hint="eastAsia" w:ascii="宋体" w:hAnsi="宋体"/>
                <w:bCs/>
                <w:sz w:val="18"/>
                <w:szCs w:val="18"/>
              </w:rPr>
              <w:t>■</w:t>
            </w:r>
            <w:r>
              <w:rPr>
                <w:rFonts w:asciiTheme="majorEastAsia" w:hAnsiTheme="majorEastAsia" w:eastAsiaTheme="majorEastAsia"/>
                <w:bCs/>
                <w:sz w:val="18"/>
                <w:szCs w:val="18"/>
              </w:rPr>
              <w:t xml:space="preserve"> R2、</w:t>
            </w:r>
            <w:r>
              <w:rPr>
                <w:rFonts w:hint="eastAsia" w:asciiTheme="majorEastAsia" w:hAnsiTheme="majorEastAsia" w:eastAsiaTheme="majorEastAsia"/>
                <w:bCs/>
                <w:sz w:val="18"/>
                <w:szCs w:val="18"/>
              </w:rPr>
              <w:t xml:space="preserve">□ </w:t>
            </w:r>
            <w:r>
              <w:rPr>
                <w:rFonts w:asciiTheme="majorEastAsia" w:hAnsiTheme="majorEastAsia" w:eastAsiaTheme="majorEastAsia"/>
                <w:bCs/>
                <w:sz w:val="18"/>
                <w:szCs w:val="18"/>
              </w:rPr>
              <w:t>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70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本产品</w:t>
            </w:r>
            <w:r>
              <w:rPr>
                <w:rFonts w:asciiTheme="majorEastAsia" w:hAnsiTheme="majorEastAsia" w:eastAsiaTheme="majorEastAsia"/>
                <w:bCs/>
                <w:color w:val="000000" w:themeColor="text1"/>
                <w:sz w:val="18"/>
                <w:szCs w:val="18"/>
                <w14:textFill>
                  <w14:solidFill>
                    <w14:schemeClr w14:val="tx1"/>
                  </w14:solidFill>
                </w14:textFill>
              </w:rPr>
              <w:t>适合以下类型投资者：</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□机构投资者：□一般</w:t>
            </w:r>
            <w:r>
              <w:rPr>
                <w:rFonts w:asciiTheme="majorEastAsia" w:hAnsiTheme="majorEastAsia" w:eastAsiaTheme="majorEastAsia"/>
                <w:bCs/>
                <w:color w:val="000000" w:themeColor="text1"/>
                <w:sz w:val="18"/>
                <w:szCs w:val="18"/>
                <w14:textFill>
                  <w14:solidFill>
                    <w14:schemeClr w14:val="tx1"/>
                  </w14:solidFill>
                </w14:textFill>
              </w:rPr>
              <w:t>机构</w:t>
            </w:r>
            <w:r>
              <w:rPr>
                <w:rFonts w:hint="eastAsia" w:asciiTheme="majorEastAsia" w:hAnsiTheme="majorEastAsia" w:eastAsiaTheme="majorEastAsia"/>
                <w:bCs/>
                <w:color w:val="000000" w:themeColor="text1"/>
                <w:sz w:val="18"/>
                <w:szCs w:val="18"/>
                <w14:textFill>
                  <w14:solidFill>
                    <w14:schemeClr w14:val="tx1"/>
                  </w14:solidFill>
                </w14:textFill>
              </w:rPr>
              <w:t xml:space="preserve">客户 </w:t>
            </w:r>
            <w:r>
              <w:rPr>
                <w:rFonts w:asciiTheme="majorEastAsia" w:hAnsiTheme="majorEastAsia" w:eastAsiaTheme="majorEastAsia"/>
                <w:bCs/>
                <w:color w:val="000000" w:themeColor="text1"/>
                <w:sz w:val="18"/>
                <w:szCs w:val="18"/>
                <w14:textFill>
                  <w14:solidFill>
                    <w14:schemeClr w14:val="tx1"/>
                  </w14:solidFill>
                </w14:textFill>
              </w:rPr>
              <w:t xml:space="preserve">  </w:t>
            </w:r>
            <w:r>
              <w:rPr>
                <w:rFonts w:hint="eastAsia" w:asciiTheme="majorEastAsia" w:hAnsiTheme="majorEastAsia" w:eastAsiaTheme="majorEastAsia"/>
                <w:bCs/>
                <w:color w:val="000000" w:themeColor="text1"/>
                <w:sz w:val="18"/>
                <w:szCs w:val="18"/>
                <w14:textFill>
                  <w14:solidFill>
                    <w14:schemeClr w14:val="tx1"/>
                  </w14:solidFill>
                </w14:textFill>
              </w:rPr>
              <w:t>□金融同业客户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hAnsi="宋体"/>
                <w:sz w:val="18"/>
                <w:szCs w:val="18"/>
              </w:rPr>
              <w:t>★</w:t>
            </w:r>
            <w:r>
              <w:rPr>
                <w:rFonts w:hint="eastAsia" w:ascii="黑体" w:hAnsi="黑体" w:eastAsia="黑体"/>
                <w:sz w:val="18"/>
                <w:szCs w:val="18"/>
              </w:rPr>
              <w:t>特别提示：当销售机构销售产品风险评级为</w:t>
            </w:r>
            <w:r>
              <w:rPr>
                <w:rFonts w:ascii="黑体" w:hAnsi="黑体" w:eastAsia="黑体"/>
                <w:sz w:val="18"/>
                <w:szCs w:val="18"/>
              </w:rPr>
              <w:t>R4</w:t>
            </w:r>
            <w:r>
              <w:rPr>
                <w:rFonts w:hint="eastAsia" w:ascii="黑体" w:hAnsi="黑体" w:eastAsia="黑体"/>
                <w:sz w:val="18"/>
                <w:szCs w:val="18"/>
              </w:rPr>
              <w:t>及</w:t>
            </w:r>
            <w:r>
              <w:rPr>
                <w:rFonts w:ascii="黑体" w:hAnsi="黑体" w:eastAsia="黑体"/>
                <w:sz w:val="18"/>
                <w:szCs w:val="18"/>
              </w:rPr>
              <w:t>以上</w:t>
            </w:r>
            <w:r>
              <w:rPr>
                <w:rFonts w:hint="eastAsia" w:ascii="黑体" w:hAnsi="黑体" w:eastAsia="黑体"/>
                <w:sz w:val="18"/>
                <w:szCs w:val="18"/>
              </w:rPr>
              <w:t>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规模为【30】亿元，最小成立规模为【/】亿元。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□有固定期限：【】</w:t>
            </w:r>
          </w:p>
          <w:p>
            <w:pPr>
              <w:spacing w:line="360" w:lineRule="auto"/>
              <w:rPr>
                <w:rFonts w:cs="仿宋_GB2312" w:asciiTheme="majorEastAsia" w:hAnsiTheme="majorEastAsia" w:eastAsiaTheme="majorEastAsia"/>
                <w:kern w:val="0"/>
                <w:sz w:val="18"/>
                <w:szCs w:val="18"/>
              </w:rPr>
            </w:pPr>
            <w:r>
              <w:rPr>
                <w:rFonts w:hint="eastAsia" w:ascii="宋体" w:hAnsi="宋体"/>
                <w:bCs/>
                <w:sz w:val="18"/>
                <w:szCs w:val="18"/>
              </w:rPr>
              <w:t>■</w:t>
            </w:r>
            <w:r>
              <w:rPr>
                <w:rFonts w:hint="eastAsia" w:cs="仿宋_GB2312" w:asciiTheme="majorEastAsia" w:hAnsiTheme="majorEastAsia" w:eastAsiaTheme="majorEastAsia"/>
                <w:kern w:val="0"/>
                <w:sz w:val="18"/>
                <w:szCs w:val="18"/>
              </w:rPr>
              <w:t>无固定期限</w:t>
            </w:r>
          </w:p>
          <w:p>
            <w:pPr>
              <w:spacing w:line="360" w:lineRule="auto"/>
              <w:rPr>
                <w:rFonts w:cs="仿宋_GB2312" w:asciiTheme="majorEastAsia" w:hAnsiTheme="majorEastAsia" w:eastAsiaTheme="majorEastAsia"/>
                <w:kern w:val="0"/>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70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rPr>
              <w:t>【2018】年【</w:t>
            </w:r>
            <w:r>
              <w:rPr>
                <w:rFonts w:cs="Times New Roman" w:asciiTheme="minorEastAsia" w:hAnsiTheme="minorEastAsia"/>
                <w:sz w:val="18"/>
                <w:szCs w:val="18"/>
              </w:rPr>
              <w:t>10</w:t>
            </w:r>
            <w:r>
              <w:rPr>
                <w:rFonts w:hint="eastAsia" w:cs="Times New Roman" w:asciiTheme="minorEastAsia" w:hAnsiTheme="minorEastAsia"/>
                <w:sz w:val="18"/>
                <w:szCs w:val="18"/>
              </w:rPr>
              <w:t>】月【</w:t>
            </w:r>
            <w:r>
              <w:rPr>
                <w:rFonts w:cs="Times New Roman" w:asciiTheme="minorEastAsia" w:hAnsiTheme="minorEastAsia"/>
                <w:sz w:val="18"/>
                <w:szCs w:val="18"/>
              </w:rPr>
              <w:t>23</w:t>
            </w:r>
            <w:r>
              <w:rPr>
                <w:rFonts w:hint="eastAsia" w:cs="Times New Roman" w:asciiTheme="minorEastAsia" w:hAnsiTheme="minorEastAsia"/>
                <w:sz w:val="18"/>
                <w:szCs w:val="18"/>
              </w:rPr>
              <w:t>】日【11：00】至【2018】年【</w:t>
            </w:r>
            <w:r>
              <w:rPr>
                <w:rFonts w:cs="Times New Roman" w:asciiTheme="minorEastAsia" w:hAnsiTheme="minorEastAsia"/>
                <w:sz w:val="18"/>
                <w:szCs w:val="18"/>
              </w:rPr>
              <w:t>10</w:t>
            </w:r>
            <w:r>
              <w:rPr>
                <w:rFonts w:hint="eastAsia" w:cs="Times New Roman" w:asciiTheme="minorEastAsia" w:hAnsiTheme="minorEastAsia"/>
                <w:sz w:val="18"/>
                <w:szCs w:val="18"/>
              </w:rPr>
              <w:t>】月【</w:t>
            </w:r>
            <w:r>
              <w:rPr>
                <w:rFonts w:cs="Times New Roman" w:asciiTheme="minorEastAsia" w:hAnsiTheme="minorEastAsia"/>
                <w:sz w:val="18"/>
                <w:szCs w:val="18"/>
              </w:rPr>
              <w:t>29</w:t>
            </w:r>
            <w:r>
              <w:rPr>
                <w:rFonts w:hint="eastAsia" w:cs="Times New Roman" w:asciiTheme="minorEastAsia" w:hAnsiTheme="minorEastAsia"/>
                <w:sz w:val="18"/>
                <w:szCs w:val="18"/>
              </w:rPr>
              <w:t>】日【15：</w:t>
            </w:r>
            <w:r>
              <w:rPr>
                <w:rFonts w:hint="eastAsia" w:cs="Times New Roman" w:asciiTheme="minorEastAsia" w:hAnsiTheme="minorEastAsia"/>
                <w:sz w:val="18"/>
                <w:szCs w:val="18"/>
                <w:lang w:val="en-US" w:eastAsia="zh-CN"/>
              </w:rPr>
              <w:t>30</w:t>
            </w:r>
            <w:r>
              <w:rPr>
                <w:rFonts w:hint="eastAsia" w:cs="Times New Roman" w:asciiTheme="minorEastAsia" w:hAnsiTheme="minorEastAsia"/>
                <w:sz w:val="18"/>
                <w:szCs w:val="18"/>
              </w:rPr>
              <w:t>】</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704" w:type="dxa"/>
            <w:shd w:val="solid" w:color="FFFFFF" w:fill="FFFFFF"/>
            <w:vAlign w:val="center"/>
          </w:tcPr>
          <w:p>
            <w:pPr>
              <w:spacing w:line="360" w:lineRule="auto"/>
              <w:rPr>
                <w:rFonts w:cs="Times New Roman" w:asciiTheme="minorEastAsia" w:hAnsiTheme="minorEastAsia"/>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【2018</w:t>
            </w:r>
            <w:r>
              <w:rPr>
                <w:rFonts w:cs="Times New Roman" w:asciiTheme="minorEastAsia" w:hAnsiTheme="minorEastAsia"/>
                <w:sz w:val="18"/>
                <w:szCs w:val="18"/>
              </w:rPr>
              <w:t>】年【10</w:t>
            </w:r>
            <w:r>
              <w:rPr>
                <w:rFonts w:hint="eastAsia" w:cs="Times New Roman" w:asciiTheme="minorEastAsia" w:hAnsiTheme="minorEastAsia"/>
                <w:sz w:val="18"/>
                <w:szCs w:val="18"/>
              </w:rPr>
              <w:t>】月【</w:t>
            </w:r>
            <w:r>
              <w:rPr>
                <w:rFonts w:cs="Times New Roman" w:asciiTheme="minorEastAsia" w:hAnsiTheme="minorEastAsia"/>
                <w:sz w:val="18"/>
                <w:szCs w:val="18"/>
              </w:rPr>
              <w:t>30</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inorEastAsia" w:hAnsiTheme="minorEastAsia"/>
                <w:b/>
                <w:bCs/>
                <w:sz w:val="18"/>
                <w:szCs w:val="18"/>
              </w:rPr>
            </w:pPr>
            <w:r>
              <w:rPr>
                <w:rFonts w:hint="eastAsia" w:asciiTheme="minorEastAsia" w:hAnsiTheme="minorEastAsia"/>
                <w:b/>
                <w:bCs/>
                <w:sz w:val="18"/>
                <w:szCs w:val="18"/>
              </w:rPr>
              <w:t>终止日</w:t>
            </w:r>
          </w:p>
        </w:tc>
        <w:tc>
          <w:tcPr>
            <w:tcW w:w="770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w:t>
            </w:r>
            <w:r>
              <w:rPr>
                <w:rFonts w:cs="Times New Roman" w:asciiTheme="minorEastAsia" w:hAnsiTheme="minorEastAsia"/>
                <w:sz w:val="18"/>
                <w:szCs w:val="18"/>
              </w:rPr>
              <w:t>】年【</w:t>
            </w:r>
            <w:r>
              <w:rPr>
                <w:rFonts w:hint="eastAsia" w:cs="Times New Roman" w:asciiTheme="minorEastAsia" w:hAnsiTheme="minorEastAsia"/>
                <w:sz w:val="18"/>
                <w:szCs w:val="18"/>
              </w:rPr>
              <w:t>/】月【/】日（遇节假日顺延）</w:t>
            </w:r>
            <w:r>
              <w:rPr>
                <w:rFonts w:hint="eastAsia" w:asciiTheme="minorEastAsia" w:hAnsiTheme="minorEastAsia"/>
                <w:bCs/>
                <w:sz w:val="18"/>
                <w:szCs w:val="18"/>
              </w:rPr>
              <w:t>。</w:t>
            </w:r>
          </w:p>
          <w:p>
            <w:pPr>
              <w:spacing w:line="360" w:lineRule="auto"/>
              <w:rPr>
                <w:rFonts w:asciiTheme="minorEastAsia" w:hAnsiTheme="minorEastAsia"/>
                <w:bCs/>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投资</w:t>
            </w:r>
            <w:r>
              <w:rPr>
                <w:rFonts w:asciiTheme="majorEastAsia" w:hAnsiTheme="majorEastAsia" w:eastAsiaTheme="majorEastAsia"/>
                <w:b/>
                <w:sz w:val="18"/>
                <w:szCs w:val="18"/>
              </w:rPr>
              <w:t>周期</w:t>
            </w:r>
          </w:p>
        </w:tc>
        <w:tc>
          <w:tcPr>
            <w:tcW w:w="7704" w:type="dxa"/>
            <w:shd w:val="solid" w:color="FFFFFF" w:fill="FFFFFF"/>
            <w:vAlign w:val="center"/>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inorEastAsia" w:hAnsiTheme="minorEastAsia" w:eastAsiaTheme="minorEastAsia"/>
                <w:bCs/>
                <w:color w:val="000000" w:themeColor="text1"/>
                <w:sz w:val="18"/>
                <w:szCs w:val="18"/>
                <w14:textFill>
                  <w14:solidFill>
                    <w14:schemeClr w14:val="tx1"/>
                  </w14:solidFill>
                </w14:textFill>
              </w:rPr>
              <w:t>1</w:t>
            </w:r>
            <w:r>
              <w:rPr>
                <w:rFonts w:asciiTheme="majorEastAsia" w:hAnsiTheme="majorEastAsia" w:eastAsiaTheme="majorEastAsia"/>
                <w:bCs/>
                <w:color w:val="000000" w:themeColor="text1"/>
                <w:sz w:val="18"/>
                <w:szCs w:val="18"/>
                <w14:textFill>
                  <w14:solidFill>
                    <w14:schemeClr w14:val="tx1"/>
                  </w14:solidFill>
                </w14:textFill>
              </w:rPr>
              <w:t>.投资周期的设置</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w:t>
            </w:r>
            <w:r>
              <w:rPr>
                <w:rFonts w:asciiTheme="majorEastAsia" w:hAnsiTheme="majorEastAsia" w:eastAsiaTheme="majorEastAsia"/>
                <w:bCs/>
                <w:color w:val="000000" w:themeColor="text1"/>
                <w:sz w:val="18"/>
                <w:szCs w:val="18"/>
                <w14:textFill>
                  <w14:solidFill>
                    <w14:schemeClr w14:val="tx1"/>
                  </w14:solidFill>
                </w14:textFill>
              </w:rPr>
              <w:t>1）</w:t>
            </w:r>
            <w:r>
              <w:rPr>
                <w:rFonts w:hint="eastAsia" w:asciiTheme="majorEastAsia" w:hAnsiTheme="majorEastAsia" w:eastAsiaTheme="majorEastAsia"/>
                <w:bCs/>
                <w:color w:val="000000" w:themeColor="text1"/>
                <w:sz w:val="18"/>
                <w:szCs w:val="18"/>
                <w14:textFill>
                  <w14:solidFill>
                    <w14:schemeClr w14:val="tx1"/>
                  </w14:solidFill>
                </w14:textFill>
              </w:rPr>
              <w:t>投资周期指</w:t>
            </w:r>
            <w:r>
              <w:rPr>
                <w:rFonts w:hint="eastAsia" w:asciiTheme="minorEastAsia" w:hAnsiTheme="minorEastAsia" w:eastAsiaTheme="minorEastAsia"/>
                <w:bCs/>
                <w:color w:val="000000" w:themeColor="text1"/>
                <w:sz w:val="18"/>
                <w:szCs w:val="18"/>
                <w14:textFill>
                  <w14:solidFill>
                    <w14:schemeClr w14:val="tx1"/>
                  </w14:solidFill>
                </w14:textFill>
              </w:rPr>
              <w:t>投资者</w:t>
            </w:r>
            <w:r>
              <w:rPr>
                <w:rFonts w:asciiTheme="minorEastAsia" w:hAnsiTheme="minorEastAsia" w:eastAsiaTheme="minorEastAsia"/>
                <w:bCs/>
                <w:color w:val="000000" w:themeColor="text1"/>
                <w:sz w:val="18"/>
                <w:szCs w:val="18"/>
                <w14:textFill>
                  <w14:solidFill>
                    <w14:schemeClr w14:val="tx1"/>
                  </w14:solidFill>
                </w14:textFill>
              </w:rPr>
              <w:t>持有理财产品份额</w:t>
            </w:r>
            <w:r>
              <w:rPr>
                <w:rFonts w:hint="eastAsia" w:asciiTheme="minorEastAsia" w:hAnsiTheme="minorEastAsia" w:eastAsiaTheme="minorEastAsia"/>
                <w:bCs/>
                <w:color w:val="000000" w:themeColor="text1"/>
                <w:sz w:val="18"/>
                <w:szCs w:val="18"/>
                <w14:textFill>
                  <w14:solidFill>
                    <w14:schemeClr w14:val="tx1"/>
                  </w14:solidFill>
                </w14:textFill>
              </w:rPr>
              <w:t>所对应的理财资金由产品管理人进行投资运作的一段完整期间。</w:t>
            </w:r>
          </w:p>
          <w:p>
            <w:pPr>
              <w:spacing w:line="360" w:lineRule="auto"/>
              <w:rPr>
                <w:rFonts w:cs="仿宋_GB2312" w:asciiTheme="majorEastAsia" w:hAnsiTheme="majorEastAsia" w:eastAsiaTheme="majorEastAsia"/>
                <w:color w:val="000000" w:themeColor="text1"/>
                <w:kern w:val="0"/>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（2）每一个投资周期：包含投资者持有理财产品份额的认购确认日或申购确认日至该产品份额的最近一个赎回确认日或产品终止日的期间</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（3</w:t>
            </w:r>
            <w:r>
              <w:rPr>
                <w:rFonts w:asciiTheme="minorEastAsia" w:hAnsiTheme="minorEastAsia" w:eastAsiaTheme="min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正常情况下，本产品的一个投资周期为【6个月】</w:t>
            </w: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投资周期存在长于或短于【6个月】的可能，投资者具体投资周期以本产品说明书“申购</w:t>
            </w:r>
            <w:r>
              <w:rPr>
                <w:rFonts w:asciiTheme="majorEastAsia" w:hAnsiTheme="majorEastAsia" w:eastAsiaTheme="majorEastAsia"/>
                <w:bCs/>
                <w:color w:val="000000" w:themeColor="text1"/>
                <w:sz w:val="18"/>
                <w:szCs w:val="18"/>
                <w14:textFill>
                  <w14:solidFill>
                    <w14:schemeClr w14:val="tx1"/>
                  </w14:solidFill>
                </w14:textFill>
              </w:rPr>
              <w:t>/赎回安排</w:t>
            </w:r>
            <w:r>
              <w:rPr>
                <w:rFonts w:hint="eastAsia" w:asciiTheme="majorEastAsia" w:hAnsiTheme="majorEastAsia" w:eastAsiaTheme="majorEastAsia"/>
                <w:bCs/>
                <w:color w:val="000000" w:themeColor="text1"/>
                <w:sz w:val="18"/>
                <w:szCs w:val="18"/>
                <w14:textFill>
                  <w14:solidFill>
                    <w14:schemeClr w14:val="tx1"/>
                  </w14:solidFill>
                </w14:textFill>
              </w:rPr>
              <w:t>”所载明的天数为准。投资周期终止日如遇非工作日则产品管理人做相应调整。</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2.投资周期的参与</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w:t>
            </w:r>
            <w:r>
              <w:rPr>
                <w:rFonts w:asciiTheme="majorEastAsia" w:hAnsiTheme="majorEastAsia" w:eastAsiaTheme="majorEastAsia"/>
                <w:bCs/>
                <w:color w:val="000000" w:themeColor="text1"/>
                <w:sz w:val="18"/>
                <w:szCs w:val="18"/>
                <w14:textFill>
                  <w14:solidFill>
                    <w14:schemeClr w14:val="tx1"/>
                  </w14:solidFill>
                </w14:textFill>
              </w:rPr>
              <w:t>1）本产品成立前，投资者可通过认购方式参与本产品的第一个投资周期。</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cs="仿宋_GB2312" w:asciiTheme="majorEastAsia" w:hAnsiTheme="majorEastAsia" w:eastAsiaTheme="majorEastAsia"/>
                <w:color w:val="000000" w:themeColor="text1"/>
                <w:kern w:val="0"/>
                <w:sz w:val="18"/>
                <w:szCs w:val="18"/>
                <w14:textFill>
                  <w14:solidFill>
                    <w14:schemeClr w14:val="tx1"/>
                  </w14:solidFill>
                </w14:textFill>
              </w:rPr>
              <w:t>（</w:t>
            </w:r>
            <w:r>
              <w:rPr>
                <w:rFonts w:cs="仿宋_GB2312" w:asciiTheme="majorEastAsia" w:hAnsiTheme="majorEastAsia" w:eastAsiaTheme="majorEastAsia"/>
                <w:color w:val="000000" w:themeColor="text1"/>
                <w:kern w:val="0"/>
                <w:sz w:val="18"/>
                <w:szCs w:val="18"/>
                <w14:textFill>
                  <w14:solidFill>
                    <w14:schemeClr w14:val="tx1"/>
                  </w14:solidFill>
                </w14:textFill>
              </w:rPr>
              <w:t>2）本产品成立后，投资者可通过预约申购方式参与本产品的不同投资周期。</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本产品</w:t>
            </w:r>
            <w:r>
              <w:rPr>
                <w:rFonts w:cs="仿宋_GB2312" w:asciiTheme="majorEastAsia" w:hAnsiTheme="majorEastAsia" w:eastAsiaTheme="majorEastAsia"/>
                <w:color w:val="000000" w:themeColor="text1"/>
                <w:kern w:val="0"/>
                <w:sz w:val="18"/>
                <w:szCs w:val="18"/>
                <w14:textFill>
                  <w14:solidFill>
                    <w14:schemeClr w14:val="tx1"/>
                  </w14:solidFill>
                </w14:textFill>
              </w:rPr>
              <w:t>成立后管理人可根据募集情况设置预约申购期</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w:t>
            </w:r>
            <w:r>
              <w:rPr>
                <w:rFonts w:cs="仿宋_GB2312" w:asciiTheme="majorEastAsia" w:hAnsiTheme="majorEastAsia" w:eastAsiaTheme="majorEastAsia"/>
                <w:color w:val="000000" w:themeColor="text1"/>
                <w:kern w:val="0"/>
                <w:sz w:val="18"/>
                <w:szCs w:val="18"/>
                <w14:textFill>
                  <w14:solidFill>
                    <w14:schemeClr w14:val="tx1"/>
                  </w14:solidFill>
                </w14:textFill>
              </w:rPr>
              <w:t>在理财产品运作一个完整的投资周期</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结束前后，</w:t>
            </w:r>
            <w:r>
              <w:rPr>
                <w:rFonts w:cs="仿宋_GB2312" w:asciiTheme="majorEastAsia" w:hAnsiTheme="majorEastAsia" w:eastAsiaTheme="majorEastAsia"/>
                <w:color w:val="000000" w:themeColor="text1"/>
                <w:kern w:val="0"/>
                <w:sz w:val="18"/>
                <w:szCs w:val="18"/>
                <w14:textFill>
                  <w14:solidFill>
                    <w14:schemeClr w14:val="tx1"/>
                  </w14:solidFill>
                </w14:textFill>
              </w:rPr>
              <w:t>管理人可设置预约申购期</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w:t>
            </w:r>
            <w:r>
              <w:rPr>
                <w:rFonts w:hint="eastAsia" w:ascii="宋体" w:hAnsi="宋体" w:cs="仿宋_GB2312"/>
                <w:kern w:val="0"/>
                <w:sz w:val="18"/>
                <w:szCs w:val="18"/>
              </w:rPr>
              <w:t>投资者可在预约申购期内提交预约申购申请</w:t>
            </w:r>
            <w:r>
              <w:rPr>
                <w:rFonts w:hint="eastAsia" w:asciiTheme="minorEastAsia" w:hAnsiTheme="minorEastAsia" w:eastAsiaTheme="minorEastAsia"/>
                <w:bCs/>
                <w:sz w:val="18"/>
                <w:szCs w:val="18"/>
              </w:rPr>
              <w:t>。</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3.投资周期的退出</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（1）本产品成立后，投资者可通过预约赎回方式退出本产品的投资周期。在</w:t>
            </w:r>
            <w:r>
              <w:rPr>
                <w:rFonts w:asciiTheme="minorEastAsia" w:hAnsiTheme="minorEastAsia" w:eastAsiaTheme="minorEastAsia"/>
                <w:bCs/>
                <w:color w:val="000000" w:themeColor="text1"/>
                <w:sz w:val="18"/>
                <w:szCs w:val="18"/>
                <w14:textFill>
                  <w14:solidFill>
                    <w14:schemeClr w14:val="tx1"/>
                  </w14:solidFill>
                </w14:textFill>
              </w:rPr>
              <w:t>投资者持有的理财产品份额</w:t>
            </w:r>
            <w:r>
              <w:rPr>
                <w:rFonts w:hint="eastAsia" w:asciiTheme="minorEastAsia" w:hAnsiTheme="minorEastAsia" w:eastAsiaTheme="minorEastAsia"/>
                <w:bCs/>
                <w:color w:val="000000" w:themeColor="text1"/>
                <w:sz w:val="18"/>
                <w:szCs w:val="18"/>
                <w14:textFill>
                  <w14:solidFill>
                    <w14:schemeClr w14:val="tx1"/>
                  </w14:solidFill>
                </w14:textFill>
              </w:rPr>
              <w:t>在运作一个完整的投资周期结束前，投资者可在预约赎回期内</w:t>
            </w:r>
            <w:r>
              <w:rPr>
                <w:rFonts w:asciiTheme="minorEastAsia" w:hAnsiTheme="minorEastAsia" w:eastAsiaTheme="minorEastAsia"/>
                <w:bCs/>
                <w:color w:val="000000" w:themeColor="text1"/>
                <w:sz w:val="18"/>
                <w:szCs w:val="18"/>
                <w14:textFill>
                  <w14:solidFill>
                    <w14:schemeClr w14:val="tx1"/>
                  </w14:solidFill>
                </w14:textFill>
              </w:rPr>
              <w:t>提出预约</w:t>
            </w:r>
            <w:r>
              <w:rPr>
                <w:rFonts w:hint="eastAsia" w:asciiTheme="minorEastAsia" w:hAnsiTheme="minorEastAsia" w:eastAsiaTheme="minorEastAsia"/>
                <w:bCs/>
                <w:color w:val="000000" w:themeColor="text1"/>
                <w:sz w:val="18"/>
                <w:szCs w:val="18"/>
                <w14:textFill>
                  <w14:solidFill>
                    <w14:schemeClr w14:val="tx1"/>
                  </w14:solidFill>
                </w14:textFill>
              </w:rPr>
              <w:t>赎回申请，如未赎回将进入下一个投资周期继续运作。</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（2）在</w:t>
            </w:r>
            <w:r>
              <w:rPr>
                <w:rFonts w:asciiTheme="minorEastAsia" w:hAnsiTheme="minorEastAsia" w:eastAsiaTheme="minorEastAsia"/>
                <w:bCs/>
                <w:color w:val="000000" w:themeColor="text1"/>
                <w:sz w:val="18"/>
                <w:szCs w:val="18"/>
                <w14:textFill>
                  <w14:solidFill>
                    <w14:schemeClr w14:val="tx1"/>
                  </w14:solidFill>
                </w14:textFill>
              </w:rPr>
              <w:t>投资者持有的理财产品份额</w:t>
            </w:r>
            <w:r>
              <w:rPr>
                <w:rFonts w:hint="eastAsia" w:asciiTheme="minorEastAsia" w:hAnsiTheme="minorEastAsia" w:eastAsiaTheme="minorEastAsia"/>
                <w:bCs/>
                <w:color w:val="000000" w:themeColor="text1"/>
                <w:sz w:val="18"/>
                <w:szCs w:val="18"/>
                <w14:textFill>
                  <w14:solidFill>
                    <w14:schemeClr w14:val="tx1"/>
                  </w14:solidFill>
                </w14:textFill>
              </w:rPr>
              <w:t>在运作一个完整的投资周期后，投资者</w:t>
            </w:r>
            <w:r>
              <w:rPr>
                <w:rFonts w:asciiTheme="minorEastAsia" w:hAnsiTheme="minorEastAsia" w:eastAsiaTheme="minorEastAsia"/>
                <w:bCs/>
                <w:color w:val="000000" w:themeColor="text1"/>
                <w:sz w:val="18"/>
                <w:szCs w:val="18"/>
                <w14:textFill>
                  <w14:solidFill>
                    <w14:schemeClr w14:val="tx1"/>
                  </w14:solidFill>
                </w14:textFill>
              </w:rPr>
              <w:t>也可以继续</w:t>
            </w:r>
            <w:r>
              <w:rPr>
                <w:rFonts w:hint="eastAsia" w:asciiTheme="minorEastAsia" w:hAnsiTheme="minorEastAsia" w:eastAsiaTheme="minorEastAsia"/>
                <w:bCs/>
                <w:color w:val="000000" w:themeColor="text1"/>
                <w:sz w:val="18"/>
                <w:szCs w:val="18"/>
                <w14:textFill>
                  <w14:solidFill>
                    <w14:schemeClr w14:val="tx1"/>
                  </w14:solidFill>
                </w14:textFill>
              </w:rPr>
              <w:t>持有理财产品份额进入</w:t>
            </w:r>
            <w:r>
              <w:rPr>
                <w:rFonts w:asciiTheme="minorEastAsia" w:hAnsiTheme="minorEastAsia" w:eastAsiaTheme="minorEastAsia"/>
                <w:bCs/>
                <w:color w:val="000000" w:themeColor="text1"/>
                <w:sz w:val="18"/>
                <w:szCs w:val="18"/>
                <w14:textFill>
                  <w14:solidFill>
                    <w14:schemeClr w14:val="tx1"/>
                  </w14:solidFill>
                </w14:textFill>
              </w:rPr>
              <w:t>下一个投资周期</w:t>
            </w:r>
            <w:r>
              <w:rPr>
                <w:rFonts w:hint="eastAsia" w:asciiTheme="minorEastAsia" w:hAnsiTheme="minorEastAsia" w:eastAsiaTheme="minorEastAsia"/>
                <w:bCs/>
                <w:color w:val="000000" w:themeColor="text1"/>
                <w:sz w:val="18"/>
                <w:szCs w:val="18"/>
                <w14:textFill>
                  <w14:solidFill>
                    <w14:schemeClr w14:val="tx1"/>
                  </w14:solidFill>
                </w14:textFill>
              </w:rPr>
              <w:t>。</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（3）</w:t>
            </w:r>
            <w:r>
              <w:rPr>
                <w:rFonts w:hint="eastAsia" w:asciiTheme="majorEastAsia" w:hAnsiTheme="majorEastAsia" w:eastAsiaTheme="majorEastAsia"/>
                <w:bCs/>
                <w:sz w:val="18"/>
                <w:szCs w:val="18"/>
              </w:rPr>
              <w:t>如果投资者在本产品提前终止时仍有未赎回的份额，则产品管理人将按照《产品说明书》“第十条 理财产品的终止与清算（二）理财产品的清算”条款处理。</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4</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投资周期的调整</w:t>
            </w:r>
          </w:p>
          <w:p>
            <w:pPr>
              <w:spacing w:line="360" w:lineRule="auto"/>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产品管理人有权调整投资周期，调整后的投资周期以产品管理人发布的公告为准。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宋体" w:hAnsi="宋体"/>
                <w:b/>
                <w:bCs/>
                <w:kern w:val="0"/>
                <w:sz w:val="18"/>
                <w:szCs w:val="18"/>
              </w:rPr>
              <w:t>申购/赎回安排</w:t>
            </w:r>
          </w:p>
        </w:tc>
        <w:tc>
          <w:tcPr>
            <w:tcW w:w="7704" w:type="dxa"/>
            <w:shd w:val="solid" w:color="FFFFFF" w:fill="FFFFFF"/>
          </w:tcPr>
          <w:p>
            <w:pPr>
              <w:spacing w:line="360" w:lineRule="auto"/>
              <w:rPr>
                <w:rFonts w:cs="Times New Roman" w:asciiTheme="minorEastAsia" w:hAnsiTheme="minorEastAsia"/>
                <w:sz w:val="18"/>
                <w:szCs w:val="18"/>
              </w:rPr>
            </w:pPr>
            <w:r>
              <w:rPr>
                <w:rFonts w:hint="eastAsia" w:cs="仿宋_GB2312" w:asciiTheme="majorEastAsia" w:hAnsiTheme="majorEastAsia" w:eastAsiaTheme="majorEastAsia"/>
                <w:color w:val="000000" w:themeColor="text1"/>
                <w:kern w:val="0"/>
                <w:sz w:val="18"/>
                <w:szCs w:val="18"/>
                <w14:textFill>
                  <w14:solidFill>
                    <w14:schemeClr w14:val="tx1"/>
                  </w14:solidFill>
                </w14:textFill>
              </w:rPr>
              <w:t>1.</w:t>
            </w:r>
            <w:r>
              <w:rPr>
                <w:rFonts w:hint="eastAsia" w:cs="Times New Roman" w:asciiTheme="minorEastAsia" w:hAnsiTheme="minorEastAsia"/>
                <w:sz w:val="18"/>
                <w:szCs w:val="18"/>
              </w:rPr>
              <w:t>本产品成立后，开放多个预约申购/赎回期。</w:t>
            </w:r>
          </w:p>
          <w:p>
            <w:pPr>
              <w:spacing w:line="360" w:lineRule="auto"/>
              <w:rPr>
                <w:rFonts w:asciiTheme="majorEastAsia" w:hAnsiTheme="majorEastAsia"/>
                <w:bCs/>
                <w:color w:val="000000" w:themeColor="text1"/>
                <w:sz w:val="18"/>
                <w:szCs w:val="18"/>
                <w14:textFill>
                  <w14:solidFill>
                    <w14:schemeClr w14:val="tx1"/>
                  </w14:solidFill>
                </w14:textFill>
              </w:rPr>
            </w:pPr>
            <w:r>
              <w:rPr>
                <w:rFonts w:hint="eastAsia" w:cs="Times New Roman" w:asciiTheme="minorEastAsia" w:hAnsiTheme="minorEastAsia"/>
                <w:sz w:val="18"/>
                <w:szCs w:val="18"/>
              </w:rPr>
              <w:t>2</w:t>
            </w:r>
            <w:r>
              <w:rPr>
                <w:rFonts w:cs="Times New Roman" w:asciiTheme="minorEastAsia" w:hAnsiTheme="minorEastAsia"/>
                <w:sz w:val="18"/>
                <w:szCs w:val="18"/>
              </w:rPr>
              <w:t>.</w:t>
            </w:r>
            <w:r>
              <w:rPr>
                <w:rFonts w:hint="eastAsia" w:cs="Times New Roman" w:asciiTheme="minorEastAsia" w:hAnsiTheme="minorEastAsia"/>
                <w:sz w:val="18"/>
                <w:szCs w:val="18"/>
              </w:rPr>
              <w:t>预约申购安排</w:t>
            </w:r>
          </w:p>
          <w:p>
            <w:pPr>
              <w:spacing w:line="360" w:lineRule="auto"/>
              <w:rPr>
                <w:rFonts w:cs="Times New Roman" w:asciiTheme="minorEastAsia" w:hAnsiTheme="minorEastAsia"/>
                <w:sz w:val="18"/>
                <w:szCs w:val="18"/>
              </w:rPr>
            </w:pPr>
            <w:r>
              <w:rPr>
                <w:rFonts w:hint="eastAsia" w:cs="Times New Roman" w:asciiTheme="minorEastAsia" w:hAnsiTheme="minorEastAsia"/>
                <w:sz w:val="18"/>
                <w:szCs w:val="18"/>
              </w:rPr>
              <w:t>（1）申购的时间</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□预约申购期：【2024】年【10】月【15】日11:00至【2024】年【10】月【21】日15:</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30</w:t>
            </w:r>
            <w:r>
              <w:rPr>
                <w:rFonts w:hint="eastAsia" w:asciiTheme="majorEastAsia" w:hAnsiTheme="majorEastAsia" w:eastAsiaTheme="majorEastAsia"/>
                <w:bCs/>
                <w:color w:val="000000" w:themeColor="text1"/>
                <w:sz w:val="18"/>
                <w:szCs w:val="18"/>
                <w14:textFill>
                  <w14:solidFill>
                    <w14:schemeClr w14:val="tx1"/>
                  </w14:solidFill>
                </w14:textFill>
              </w:rPr>
              <w:t>；投资周期【196】天；</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□预约申购期：【2024】年【10】月【22】日11:00至【2024】年【10】月【28】日15:</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30</w:t>
            </w:r>
            <w:r>
              <w:rPr>
                <w:rFonts w:hint="eastAsia" w:asciiTheme="majorEastAsia" w:hAnsiTheme="majorEastAsia" w:eastAsiaTheme="majorEastAsia"/>
                <w:bCs/>
                <w:color w:val="000000" w:themeColor="text1"/>
                <w:sz w:val="18"/>
                <w:szCs w:val="18"/>
                <w14:textFill>
                  <w14:solidFill>
                    <w14:schemeClr w14:val="tx1"/>
                  </w14:solidFill>
                </w14:textFill>
              </w:rPr>
              <w:t>；投资周期【189】天；</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（2）申购的确认</w:t>
            </w:r>
          </w:p>
          <w:tbl>
            <w:tblPr>
              <w:tblStyle w:val="10"/>
              <w:tblW w:w="7190"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603"/>
              <w:gridCol w:w="2551"/>
              <w:gridCol w:w="1276"/>
              <w:gridCol w:w="176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8" w:hRule="atLeast"/>
                <w:jc w:val="center"/>
              </w:trPr>
              <w:tc>
                <w:tcPr>
                  <w:tcW w:w="1603" w:type="dxa"/>
                  <w:vAlign w:val="center"/>
                </w:tcPr>
                <w:p>
                  <w:pPr>
                    <w:pStyle w:val="18"/>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预约申购申请日</w:t>
                  </w:r>
                </w:p>
              </w:tc>
              <w:tc>
                <w:tcPr>
                  <w:tcW w:w="2551" w:type="dxa"/>
                  <w:vAlign w:val="center"/>
                </w:tcPr>
                <w:p>
                  <w:pPr>
                    <w:pStyle w:val="18"/>
                    <w:spacing w:line="360" w:lineRule="auto"/>
                    <w:jc w:val="center"/>
                    <w:rPr>
                      <w:rFonts w:cs="Times New Roman" w:asciiTheme="minorEastAsia" w:hAnsiTheme="minorEastAsia"/>
                      <w:b/>
                      <w:bCs/>
                      <w:color w:val="auto"/>
                      <w:sz w:val="18"/>
                      <w:szCs w:val="18"/>
                    </w:rPr>
                  </w:pPr>
                  <w:r>
                    <w:rPr>
                      <w:rFonts w:hint="eastAsia" w:cs="Times New Roman" w:asciiTheme="minorEastAsia" w:hAnsiTheme="minorEastAsia"/>
                      <w:b/>
                      <w:bCs/>
                      <w:color w:val="auto"/>
                      <w:sz w:val="18"/>
                      <w:szCs w:val="18"/>
                    </w:rPr>
                    <w:t>申购申请日和申购日</w:t>
                  </w:r>
                </w:p>
              </w:tc>
              <w:tc>
                <w:tcPr>
                  <w:tcW w:w="1276" w:type="dxa"/>
                  <w:vAlign w:val="center"/>
                </w:tcPr>
                <w:p>
                  <w:pPr>
                    <w:pStyle w:val="18"/>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申购确认日</w:t>
                  </w:r>
                </w:p>
              </w:tc>
              <w:tc>
                <w:tcPr>
                  <w:tcW w:w="1760" w:type="dxa"/>
                  <w:vAlign w:val="center"/>
                </w:tcPr>
                <w:p>
                  <w:pPr>
                    <w:pStyle w:val="18"/>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申购确认</w:t>
                  </w:r>
                  <w:r>
                    <w:rPr>
                      <w:rFonts w:cs="Times New Roman" w:asciiTheme="minorEastAsia" w:hAnsiTheme="minorEastAsia"/>
                      <w:b/>
                      <w:bCs/>
                      <w:color w:val="auto"/>
                      <w:sz w:val="18"/>
                      <w:szCs w:val="18"/>
                    </w:rPr>
                    <w:t>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57" w:hRule="atLeast"/>
                <w:jc w:val="center"/>
              </w:trPr>
              <w:tc>
                <w:tcPr>
                  <w:tcW w:w="1603" w:type="dxa"/>
                </w:tcPr>
                <w:p>
                  <w:pPr>
                    <w:pStyle w:val="18"/>
                    <w:spacing w:line="360" w:lineRule="auto"/>
                    <w:jc w:val="left"/>
                    <w:rPr>
                      <w:rFonts w:asciiTheme="minorEastAsia" w:hAnsiTheme="minorEastAsia"/>
                      <w:bCs/>
                      <w:color w:val="auto"/>
                      <w:kern w:val="2"/>
                      <w:sz w:val="18"/>
                      <w:szCs w:val="18"/>
                    </w:rPr>
                  </w:pPr>
                  <w:r>
                    <w:rPr>
                      <w:rFonts w:hint="eastAsia" w:cs="Times New Roman" w:asciiTheme="minorEastAsia" w:hAnsiTheme="minorEastAsia" w:eastAsiaTheme="minorEastAsia"/>
                      <w:color w:val="auto"/>
                      <w:sz w:val="18"/>
                      <w:szCs w:val="18"/>
                    </w:rPr>
                    <w:t>为预约申购期内任意一日。</w:t>
                  </w:r>
                </w:p>
              </w:tc>
              <w:tc>
                <w:tcPr>
                  <w:tcW w:w="2551" w:type="dxa"/>
                </w:tcPr>
                <w:p>
                  <w:pPr>
                    <w:pStyle w:val="18"/>
                    <w:spacing w:line="360" w:lineRule="auto"/>
                    <w:jc w:val="both"/>
                    <w:rPr>
                      <w:rFonts w:ascii="黑体" w:hAnsi="黑体" w:eastAsia="黑体" w:cs="Times New Roman"/>
                      <w:color w:val="auto"/>
                      <w:sz w:val="18"/>
                      <w:szCs w:val="18"/>
                    </w:rPr>
                  </w:pPr>
                  <w:r>
                    <w:rPr>
                      <w:rFonts w:hint="eastAsia" w:cs="Times New Roman" w:asciiTheme="minorEastAsia" w:hAnsiTheme="minorEastAsia" w:eastAsiaTheme="minorEastAsia"/>
                      <w:color w:val="auto"/>
                      <w:sz w:val="18"/>
                      <w:szCs w:val="18"/>
                    </w:rPr>
                    <w:t>申购申请日：预约申购期内最后一个工作日为申购申请日</w:t>
                  </w:r>
                  <w:r>
                    <w:rPr>
                      <w:rFonts w:hint="eastAsia" w:ascii="黑体" w:hAnsi="黑体" w:eastAsia="黑体" w:cs="Times New Roman"/>
                      <w:color w:val="auto"/>
                      <w:sz w:val="18"/>
                      <w:szCs w:val="18"/>
                    </w:rPr>
                    <w:t>（注：在申购申请日，投资者的预约申购申请自动转化为申购申请）。</w:t>
                  </w:r>
                </w:p>
                <w:p>
                  <w:pPr>
                    <w:pStyle w:val="18"/>
                    <w:spacing w:line="360" w:lineRule="auto"/>
                    <w:jc w:val="both"/>
                    <w:rPr>
                      <w:rFonts w:cs="Times New Roman" w:asciiTheme="minorEastAsia" w:hAnsiTheme="minorEastAsia" w:eastAsiaTheme="minorEastAsia"/>
                      <w:color w:val="auto"/>
                      <w:sz w:val="18"/>
                      <w:szCs w:val="18"/>
                    </w:rPr>
                  </w:pPr>
                  <w:r>
                    <w:rPr>
                      <w:rFonts w:hint="eastAsia" w:cs="Times New Roman" w:asciiTheme="minorEastAsia" w:hAnsiTheme="minorEastAsia" w:eastAsiaTheme="minorEastAsia"/>
                      <w:color w:val="auto"/>
                      <w:sz w:val="18"/>
                      <w:szCs w:val="18"/>
                    </w:rPr>
                    <w:t>申购</w:t>
                  </w:r>
                  <w:r>
                    <w:rPr>
                      <w:rFonts w:cs="Times New Roman" w:asciiTheme="minorEastAsia" w:hAnsiTheme="minorEastAsia" w:eastAsiaTheme="minorEastAsia"/>
                      <w:color w:val="auto"/>
                      <w:sz w:val="18"/>
                      <w:szCs w:val="18"/>
                    </w:rPr>
                    <w:t>日</w:t>
                  </w:r>
                  <w:r>
                    <w:rPr>
                      <w:rFonts w:hint="eastAsia" w:cs="Times New Roman" w:asciiTheme="minorEastAsia" w:hAnsiTheme="minorEastAsia" w:eastAsiaTheme="minorEastAsia"/>
                      <w:color w:val="auto"/>
                      <w:sz w:val="18"/>
                      <w:szCs w:val="18"/>
                    </w:rPr>
                    <w:t>：与申购申请日为同一日</w:t>
                  </w:r>
                  <w:r>
                    <w:rPr>
                      <w:rFonts w:hint="eastAsia" w:ascii="黑体" w:hAnsi="黑体" w:eastAsia="黑体" w:cs="Times New Roman"/>
                      <w:color w:val="auto"/>
                      <w:sz w:val="18"/>
                      <w:szCs w:val="18"/>
                    </w:rPr>
                    <w:t>（注：</w:t>
                  </w:r>
                  <w:r>
                    <w:rPr>
                      <w:rFonts w:ascii="黑体" w:hAnsi="黑体" w:eastAsia="黑体" w:cs="Times New Roman"/>
                      <w:color w:val="auto"/>
                      <w:sz w:val="18"/>
                      <w:szCs w:val="18"/>
                    </w:rPr>
                    <w:t>前述</w:t>
                  </w:r>
                  <w:r>
                    <w:rPr>
                      <w:rFonts w:hint="eastAsia" w:ascii="黑体" w:hAnsi="黑体" w:eastAsia="黑体" w:cs="Times New Roman"/>
                      <w:color w:val="auto"/>
                      <w:sz w:val="18"/>
                      <w:szCs w:val="18"/>
                    </w:rPr>
                    <w:t>申购申请视为在申购申请日的交易时间内做出，故申购申请日即为申购日）。</w:t>
                  </w:r>
                </w:p>
              </w:tc>
              <w:tc>
                <w:tcPr>
                  <w:tcW w:w="1276" w:type="dxa"/>
                </w:tcPr>
                <w:p>
                  <w:pPr>
                    <w:pStyle w:val="18"/>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申购日后【2】个工作日内。</w:t>
                  </w:r>
                </w:p>
              </w:tc>
              <w:tc>
                <w:tcPr>
                  <w:tcW w:w="1760" w:type="dxa"/>
                </w:tcPr>
                <w:p>
                  <w:pPr>
                    <w:pStyle w:val="18"/>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产品管理人在申购确认日对投资者的申购申请的有效性进行确认，并登记理财份额。</w:t>
                  </w:r>
                </w:p>
              </w:tc>
            </w:tr>
          </w:tbl>
          <w:p>
            <w:pPr>
              <w:spacing w:line="360" w:lineRule="auto"/>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注：</w:t>
            </w:r>
            <w:r>
              <w:rPr>
                <w:rFonts w:hint="eastAsia" w:ascii="黑体" w:hAnsi="黑体" w:eastAsia="黑体" w:cs="黑体"/>
                <w:sz w:val="18"/>
                <w:szCs w:val="18"/>
              </w:rPr>
              <w:t>本产品在一个完整投资周期结束前，设置一个预约申购期；在一个完整投资周期结束后，可以再设置多个预约申购期。</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3</w:t>
            </w:r>
            <w:r>
              <w:rPr>
                <w:rFonts w:asciiTheme="majorEastAsia" w:hAnsiTheme="majorEastAsia" w:eastAsiaTheme="majorEastAsia"/>
                <w:bCs/>
                <w:color w:val="000000" w:themeColor="text1"/>
                <w:sz w:val="18"/>
                <w:szCs w:val="18"/>
                <w14:textFill>
                  <w14:solidFill>
                    <w14:schemeClr w14:val="tx1"/>
                  </w14:solidFill>
                </w14:textFill>
              </w:rPr>
              <w:t>.预约</w:t>
            </w:r>
            <w:r>
              <w:rPr>
                <w:rFonts w:hint="eastAsia" w:asciiTheme="majorEastAsia" w:hAnsiTheme="majorEastAsia" w:eastAsiaTheme="majorEastAsia"/>
                <w:bCs/>
                <w:color w:val="000000" w:themeColor="text1"/>
                <w:sz w:val="18"/>
                <w:szCs w:val="18"/>
                <w14:textFill>
                  <w14:solidFill>
                    <w14:schemeClr w14:val="tx1"/>
                  </w14:solidFill>
                </w14:textFill>
              </w:rPr>
              <w:t>赎回安排</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（1）赎回的时间</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预约赎回期：【202</w:t>
            </w:r>
            <w:r>
              <w:rPr>
                <w:rFonts w:asciiTheme="majorEastAsia" w:hAnsiTheme="majorEastAsia" w:eastAsiaTheme="majorEastAsia"/>
                <w:bCs/>
                <w:color w:val="000000" w:themeColor="text1"/>
                <w:sz w:val="18"/>
                <w:szCs w:val="18"/>
                <w14:textFill>
                  <w14:solidFill>
                    <w14:schemeClr w14:val="tx1"/>
                  </w14:solidFill>
                </w14:textFill>
              </w:rPr>
              <w:t>5</w:t>
            </w:r>
            <w:r>
              <w:rPr>
                <w:rFonts w:hint="eastAsia" w:asciiTheme="majorEastAsia" w:hAnsiTheme="majorEastAsia" w:eastAsiaTheme="majorEastAsia"/>
                <w:bCs/>
                <w:color w:val="000000" w:themeColor="text1"/>
                <w:sz w:val="18"/>
                <w:szCs w:val="18"/>
                <w14:textFill>
                  <w14:solidFill>
                    <w14:schemeClr w14:val="tx1"/>
                  </w14:solidFill>
                </w14:textFill>
              </w:rPr>
              <w:t>】年【04】月【</w:t>
            </w:r>
            <w:r>
              <w:rPr>
                <w:rFonts w:asciiTheme="majorEastAsia" w:hAnsiTheme="majorEastAsia" w:eastAsiaTheme="majorEastAsia"/>
                <w:bCs/>
                <w:color w:val="000000" w:themeColor="text1"/>
                <w:sz w:val="18"/>
                <w:szCs w:val="18"/>
                <w14:textFill>
                  <w14:solidFill>
                    <w14:schemeClr w14:val="tx1"/>
                  </w14:solidFill>
                </w14:textFill>
              </w:rPr>
              <w:t>22</w:t>
            </w:r>
            <w:r>
              <w:rPr>
                <w:rFonts w:hint="eastAsia" w:asciiTheme="majorEastAsia" w:hAnsiTheme="majorEastAsia" w:eastAsiaTheme="majorEastAsia"/>
                <w:bCs/>
                <w:color w:val="000000" w:themeColor="text1"/>
                <w:sz w:val="18"/>
                <w:szCs w:val="18"/>
                <w14:textFill>
                  <w14:solidFill>
                    <w14:schemeClr w14:val="tx1"/>
                  </w14:solidFill>
                </w14:textFill>
              </w:rPr>
              <w:t>】日00:00至【202</w:t>
            </w:r>
            <w:r>
              <w:rPr>
                <w:rFonts w:asciiTheme="majorEastAsia" w:hAnsiTheme="majorEastAsia" w:eastAsiaTheme="majorEastAsia"/>
                <w:bCs/>
                <w:color w:val="000000" w:themeColor="text1"/>
                <w:sz w:val="18"/>
                <w:szCs w:val="18"/>
                <w14:textFill>
                  <w14:solidFill>
                    <w14:schemeClr w14:val="tx1"/>
                  </w14:solidFill>
                </w14:textFill>
              </w:rPr>
              <w:t>5</w:t>
            </w:r>
            <w:r>
              <w:rPr>
                <w:rFonts w:hint="eastAsia" w:asciiTheme="majorEastAsia" w:hAnsiTheme="majorEastAsia" w:eastAsiaTheme="majorEastAsia"/>
                <w:bCs/>
                <w:color w:val="000000" w:themeColor="text1"/>
                <w:sz w:val="18"/>
                <w:szCs w:val="18"/>
                <w14:textFill>
                  <w14:solidFill>
                    <w14:schemeClr w14:val="tx1"/>
                  </w14:solidFill>
                </w14:textFill>
              </w:rPr>
              <w:t>】年【0</w:t>
            </w:r>
            <w:r>
              <w:rPr>
                <w:rFonts w:asciiTheme="majorEastAsia" w:hAnsiTheme="majorEastAsia" w:eastAsiaTheme="majorEastAsia"/>
                <w:bCs/>
                <w:color w:val="000000" w:themeColor="text1"/>
                <w:sz w:val="18"/>
                <w:szCs w:val="18"/>
                <w14:textFill>
                  <w14:solidFill>
                    <w14:schemeClr w14:val="tx1"/>
                  </w14:solidFill>
                </w14:textFill>
              </w:rPr>
              <w:t>5</w:t>
            </w:r>
            <w:r>
              <w:rPr>
                <w:rFonts w:hint="eastAsia" w:asciiTheme="majorEastAsia" w:hAnsiTheme="majorEastAsia" w:eastAsiaTheme="majorEastAsia"/>
                <w:bCs/>
                <w:color w:val="000000" w:themeColor="text1"/>
                <w:sz w:val="18"/>
                <w:szCs w:val="18"/>
                <w14:textFill>
                  <w14:solidFill>
                    <w14:schemeClr w14:val="tx1"/>
                  </w14:solidFill>
                </w14:textFill>
              </w:rPr>
              <w:t>】月【</w:t>
            </w:r>
            <w:r>
              <w:rPr>
                <w:rFonts w:asciiTheme="majorEastAsia" w:hAnsiTheme="majorEastAsia" w:eastAsiaTheme="majorEastAsia"/>
                <w:bCs/>
                <w:color w:val="000000" w:themeColor="text1"/>
                <w:sz w:val="18"/>
                <w:szCs w:val="18"/>
                <w14:textFill>
                  <w14:solidFill>
                    <w14:schemeClr w14:val="tx1"/>
                  </w14:solidFill>
                </w14:textFill>
              </w:rPr>
              <w:t>05</w:t>
            </w:r>
            <w:r>
              <w:rPr>
                <w:rFonts w:hint="eastAsia" w:asciiTheme="majorEastAsia" w:hAnsiTheme="majorEastAsia" w:eastAsiaTheme="majorEastAsia"/>
                <w:bCs/>
                <w:color w:val="000000" w:themeColor="text1"/>
                <w:sz w:val="18"/>
                <w:szCs w:val="18"/>
                <w14:textFill>
                  <w14:solidFill>
                    <w14:schemeClr w14:val="tx1"/>
                  </w14:solidFill>
                </w14:textFill>
              </w:rPr>
              <w:t>】日15:</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30</w:t>
            </w:r>
            <w:r>
              <w:rPr>
                <w:rFonts w:hint="eastAsia" w:asciiTheme="majorEastAsia" w:hAnsiTheme="majorEastAsia" w:eastAsiaTheme="majorEastAsia"/>
                <w:bCs/>
                <w:color w:val="000000" w:themeColor="text1"/>
                <w:sz w:val="18"/>
                <w:szCs w:val="18"/>
                <w14:textFill>
                  <w14:solidFill>
                    <w14:schemeClr w14:val="tx1"/>
                  </w14:solidFill>
                </w14:textFill>
              </w:rPr>
              <w:t>；</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（2）赎回的确认</w:t>
            </w:r>
          </w:p>
          <w:tbl>
            <w:tblPr>
              <w:tblStyle w:val="10"/>
              <w:tblW w:w="7190"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745"/>
              <w:gridCol w:w="2409"/>
              <w:gridCol w:w="1418"/>
              <w:gridCol w:w="16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8" w:hRule="atLeast"/>
                <w:jc w:val="center"/>
              </w:trPr>
              <w:tc>
                <w:tcPr>
                  <w:tcW w:w="1745" w:type="dxa"/>
                  <w:vAlign w:val="center"/>
                </w:tcPr>
                <w:p>
                  <w:pPr>
                    <w:pStyle w:val="18"/>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预约赎回申请日</w:t>
                  </w:r>
                </w:p>
              </w:tc>
              <w:tc>
                <w:tcPr>
                  <w:tcW w:w="2409" w:type="dxa"/>
                  <w:vAlign w:val="center"/>
                </w:tcPr>
                <w:p>
                  <w:pPr>
                    <w:pStyle w:val="18"/>
                    <w:spacing w:line="360" w:lineRule="auto"/>
                    <w:jc w:val="center"/>
                    <w:rPr>
                      <w:rFonts w:cs="Times New Roman" w:asciiTheme="minorEastAsia" w:hAnsiTheme="minorEastAsia"/>
                      <w:b/>
                      <w:bCs/>
                      <w:color w:val="auto"/>
                      <w:sz w:val="18"/>
                      <w:szCs w:val="18"/>
                    </w:rPr>
                  </w:pPr>
                  <w:r>
                    <w:rPr>
                      <w:rFonts w:hint="eastAsia" w:cs="Times New Roman" w:asciiTheme="minorEastAsia" w:hAnsiTheme="minorEastAsia"/>
                      <w:b/>
                      <w:bCs/>
                      <w:color w:val="auto"/>
                      <w:sz w:val="18"/>
                      <w:szCs w:val="18"/>
                    </w:rPr>
                    <w:t>赎回申请日和赎回日</w:t>
                  </w:r>
                </w:p>
              </w:tc>
              <w:tc>
                <w:tcPr>
                  <w:tcW w:w="1418" w:type="dxa"/>
                  <w:vAlign w:val="center"/>
                </w:tcPr>
                <w:p>
                  <w:pPr>
                    <w:pStyle w:val="18"/>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赎回确认日</w:t>
                  </w:r>
                </w:p>
              </w:tc>
              <w:tc>
                <w:tcPr>
                  <w:tcW w:w="1618" w:type="dxa"/>
                  <w:vAlign w:val="center"/>
                </w:tcPr>
                <w:p>
                  <w:pPr>
                    <w:pStyle w:val="18"/>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赎回确认</w:t>
                  </w:r>
                  <w:r>
                    <w:rPr>
                      <w:rFonts w:cs="Times New Roman" w:asciiTheme="minorEastAsia" w:hAnsiTheme="minorEastAsia"/>
                      <w:b/>
                      <w:bCs/>
                      <w:color w:val="auto"/>
                      <w:sz w:val="18"/>
                      <w:szCs w:val="18"/>
                    </w:rPr>
                    <w:t>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57" w:hRule="atLeast"/>
                <w:jc w:val="center"/>
              </w:trPr>
              <w:tc>
                <w:tcPr>
                  <w:tcW w:w="1745" w:type="dxa"/>
                </w:tcPr>
                <w:p>
                  <w:pPr>
                    <w:pStyle w:val="18"/>
                    <w:spacing w:line="360" w:lineRule="auto"/>
                    <w:jc w:val="left"/>
                    <w:rPr>
                      <w:rFonts w:asciiTheme="minorEastAsia" w:hAnsiTheme="minorEastAsia"/>
                      <w:bCs/>
                      <w:color w:val="auto"/>
                      <w:kern w:val="2"/>
                      <w:sz w:val="18"/>
                      <w:szCs w:val="18"/>
                    </w:rPr>
                  </w:pPr>
                  <w:r>
                    <w:rPr>
                      <w:rFonts w:hint="eastAsia" w:cs="Times New Roman" w:asciiTheme="minorEastAsia" w:hAnsiTheme="minorEastAsia" w:eastAsiaTheme="minorEastAsia"/>
                      <w:color w:val="auto"/>
                      <w:sz w:val="18"/>
                      <w:szCs w:val="18"/>
                    </w:rPr>
                    <w:t>为预约赎回期内任意一日。</w:t>
                  </w:r>
                </w:p>
              </w:tc>
              <w:tc>
                <w:tcPr>
                  <w:tcW w:w="2409" w:type="dxa"/>
                </w:tcPr>
                <w:p>
                  <w:pPr>
                    <w:pStyle w:val="18"/>
                    <w:spacing w:line="360" w:lineRule="auto"/>
                    <w:jc w:val="both"/>
                    <w:rPr>
                      <w:rFonts w:cs="Times New Roman" w:asciiTheme="minorEastAsia" w:hAnsiTheme="minorEastAsia" w:eastAsiaTheme="minorEastAsia"/>
                      <w:color w:val="auto"/>
                      <w:sz w:val="18"/>
                      <w:szCs w:val="18"/>
                    </w:rPr>
                  </w:pPr>
                  <w:r>
                    <w:rPr>
                      <w:rFonts w:hint="eastAsia" w:cs="Times New Roman" w:asciiTheme="minorEastAsia" w:hAnsiTheme="minorEastAsia" w:eastAsiaTheme="minorEastAsia"/>
                      <w:color w:val="auto"/>
                      <w:sz w:val="18"/>
                      <w:szCs w:val="18"/>
                    </w:rPr>
                    <w:t>赎回申请日：预约赎回期内最后一个工作日为赎回申请日</w:t>
                  </w:r>
                  <w:r>
                    <w:rPr>
                      <w:rFonts w:hint="eastAsia" w:ascii="黑体" w:hAnsi="黑体" w:eastAsia="黑体" w:cs="Times New Roman"/>
                      <w:color w:val="auto"/>
                      <w:sz w:val="18"/>
                      <w:szCs w:val="18"/>
                    </w:rPr>
                    <w:t>（注：在赎回申请日，投资者的预约赎回申请自动转化为赎回申请）</w:t>
                  </w:r>
                  <w:r>
                    <w:rPr>
                      <w:rFonts w:hint="eastAsia" w:cs="Times New Roman" w:asciiTheme="minorEastAsia" w:hAnsiTheme="minorEastAsia" w:eastAsiaTheme="minorEastAsia"/>
                      <w:color w:val="auto"/>
                      <w:sz w:val="18"/>
                      <w:szCs w:val="18"/>
                    </w:rPr>
                    <w:t>。</w:t>
                  </w:r>
                </w:p>
                <w:p>
                  <w:pPr>
                    <w:pStyle w:val="18"/>
                    <w:spacing w:line="360" w:lineRule="auto"/>
                    <w:jc w:val="both"/>
                    <w:rPr>
                      <w:rFonts w:cs="Times New Roman" w:asciiTheme="minorEastAsia" w:hAnsiTheme="minorEastAsia" w:eastAsiaTheme="minorEastAsia"/>
                      <w:color w:val="auto"/>
                      <w:sz w:val="18"/>
                      <w:szCs w:val="18"/>
                    </w:rPr>
                  </w:pPr>
                  <w:r>
                    <w:rPr>
                      <w:rFonts w:cs="Times New Roman" w:asciiTheme="minorEastAsia" w:hAnsiTheme="minorEastAsia" w:eastAsiaTheme="minorEastAsia"/>
                      <w:color w:val="auto"/>
                      <w:sz w:val="18"/>
                      <w:szCs w:val="18"/>
                    </w:rPr>
                    <w:t>赎回日</w:t>
                  </w:r>
                  <w:r>
                    <w:rPr>
                      <w:rFonts w:hint="eastAsia" w:cs="Times New Roman" w:asciiTheme="minorEastAsia" w:hAnsiTheme="minorEastAsia" w:eastAsiaTheme="minorEastAsia"/>
                      <w:color w:val="auto"/>
                      <w:sz w:val="18"/>
                      <w:szCs w:val="18"/>
                    </w:rPr>
                    <w:t>：与赎回申请日为同一日</w:t>
                  </w:r>
                  <w:r>
                    <w:rPr>
                      <w:rFonts w:hint="eastAsia" w:ascii="黑体" w:hAnsi="黑体" w:eastAsia="黑体" w:cs="Times New Roman"/>
                      <w:color w:val="auto"/>
                      <w:sz w:val="18"/>
                      <w:szCs w:val="18"/>
                    </w:rPr>
                    <w:t>（注：</w:t>
                  </w:r>
                  <w:r>
                    <w:rPr>
                      <w:rFonts w:ascii="黑体" w:hAnsi="黑体" w:eastAsia="黑体" w:cs="Times New Roman"/>
                      <w:color w:val="auto"/>
                      <w:sz w:val="18"/>
                      <w:szCs w:val="18"/>
                    </w:rPr>
                    <w:t>前述</w:t>
                  </w:r>
                  <w:r>
                    <w:rPr>
                      <w:rFonts w:hint="eastAsia" w:ascii="黑体" w:hAnsi="黑体" w:eastAsia="黑体" w:cs="Times New Roman"/>
                      <w:color w:val="auto"/>
                      <w:sz w:val="18"/>
                      <w:szCs w:val="18"/>
                    </w:rPr>
                    <w:t>赎回申请视为在赎回申请日的交易时间内做出，故赎回申请日即为赎回日）。</w:t>
                  </w:r>
                </w:p>
              </w:tc>
              <w:tc>
                <w:tcPr>
                  <w:tcW w:w="1418" w:type="dxa"/>
                </w:tcPr>
                <w:p>
                  <w:pPr>
                    <w:pStyle w:val="18"/>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赎回日后【2】个工作日内。</w:t>
                  </w:r>
                </w:p>
              </w:tc>
              <w:tc>
                <w:tcPr>
                  <w:tcW w:w="1618" w:type="dxa"/>
                </w:tcPr>
                <w:p>
                  <w:pPr>
                    <w:pStyle w:val="18"/>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产品管理人在赎回</w:t>
                  </w:r>
                  <w:r>
                    <w:rPr>
                      <w:rFonts w:cs="Times New Roman" w:asciiTheme="minorEastAsia" w:hAnsiTheme="minorEastAsia" w:eastAsiaTheme="minorEastAsia"/>
                      <w:bCs/>
                      <w:sz w:val="18"/>
                      <w:szCs w:val="18"/>
                    </w:rPr>
                    <w:t>确认日</w:t>
                  </w:r>
                  <w:r>
                    <w:rPr>
                      <w:rFonts w:hint="eastAsia" w:cs="Times New Roman" w:asciiTheme="minorEastAsia" w:hAnsiTheme="minorEastAsia" w:eastAsiaTheme="minorEastAsia"/>
                      <w:bCs/>
                      <w:sz w:val="18"/>
                      <w:szCs w:val="18"/>
                    </w:rPr>
                    <w:t>对投资者的赎回申请的有效性进行确认，并注销理财份额。</w:t>
                  </w:r>
                </w:p>
              </w:tc>
            </w:tr>
          </w:tbl>
          <w:p>
            <w:pPr>
              <w:spacing w:line="360" w:lineRule="auto"/>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注：</w:t>
            </w:r>
            <w:r>
              <w:rPr>
                <w:rFonts w:hint="eastAsia" w:ascii="黑体" w:hAnsi="黑体" w:eastAsia="黑体" w:cs="黑体"/>
                <w:color w:val="000000" w:themeColor="text1"/>
                <w:sz w:val="18"/>
                <w14:textFill>
                  <w14:solidFill>
                    <w14:schemeClr w14:val="tx1"/>
                  </w14:solidFill>
                </w14:textFill>
              </w:rPr>
              <w:t>赎回</w:t>
            </w:r>
            <w:r>
              <w:rPr>
                <w:rFonts w:hint="eastAsia" w:ascii="黑体" w:hAnsi="黑体" w:eastAsia="黑体" w:cs="黑体"/>
                <w:color w:val="000000" w:themeColor="text1"/>
                <w:sz w:val="18"/>
                <w:szCs w:val="18"/>
                <w14:textFill>
                  <w14:solidFill>
                    <w14:schemeClr w14:val="tx1"/>
                  </w14:solidFill>
                </w14:textFill>
              </w:rPr>
              <w:t>款项于</w:t>
            </w:r>
            <w:r>
              <w:rPr>
                <w:rFonts w:hint="eastAsia" w:ascii="黑体" w:hAnsi="黑体" w:eastAsia="黑体" w:cs="黑体"/>
                <w:kern w:val="0"/>
                <w:sz w:val="18"/>
                <w:szCs w:val="18"/>
              </w:rPr>
              <w:t>赎回</w:t>
            </w:r>
            <w:r>
              <w:rPr>
                <w:rFonts w:hint="eastAsia" w:ascii="黑体" w:hAnsi="黑体" w:eastAsia="黑体" w:cs="黑体"/>
                <w:kern w:val="0"/>
                <w:sz w:val="18"/>
              </w:rPr>
              <w:t>日后【5】个工作日</w:t>
            </w:r>
            <w:r>
              <w:rPr>
                <w:rFonts w:hint="eastAsia" w:ascii="黑体" w:hAnsi="黑体" w:eastAsia="黑体" w:cs="黑体"/>
                <w:kern w:val="0"/>
                <w:sz w:val="18"/>
                <w:szCs w:val="18"/>
              </w:rPr>
              <w:t>内支付给</w:t>
            </w:r>
            <w:r>
              <w:rPr>
                <w:rFonts w:hint="eastAsia" w:ascii="黑体" w:hAnsi="黑体" w:eastAsia="黑体" w:cs="黑体"/>
                <w:kern w:val="0"/>
                <w:sz w:val="18"/>
              </w:rPr>
              <w:t>投资者</w:t>
            </w:r>
            <w:r>
              <w:rPr>
                <w:rFonts w:hint="eastAsia" w:ascii="黑体" w:hAnsi="黑体" w:eastAsia="黑体" w:cs="黑体"/>
                <w:kern w:val="0"/>
                <w:sz w:val="18"/>
                <w:szCs w:val="18"/>
              </w:rPr>
              <w:t>。</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4.预约申购期/</w:t>
            </w:r>
            <w:r>
              <w:rPr>
                <w:rFonts w:hint="eastAsia" w:asciiTheme="majorEastAsia" w:hAnsiTheme="majorEastAsia" w:eastAsiaTheme="majorEastAsia"/>
                <w:bCs/>
                <w:color w:val="000000" w:themeColor="text1"/>
                <w:sz w:val="18"/>
                <w:szCs w:val="18"/>
                <w14:textFill>
                  <w14:solidFill>
                    <w14:schemeClr w14:val="tx1"/>
                  </w14:solidFill>
                </w14:textFill>
              </w:rPr>
              <w:t>预约赎回期的起始日和终止日如遇非工作日，则产品管理人做相应调整。</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5</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cs="Times New Roman" w:asciiTheme="minorEastAsia" w:hAnsiTheme="minorEastAsia"/>
                <w:sz w:val="18"/>
                <w:szCs w:val="18"/>
              </w:rPr>
              <w:t>本产品在一个完整投资周期结束前，产品</w:t>
            </w:r>
            <w:r>
              <w:rPr>
                <w:rFonts w:cs="Times New Roman" w:asciiTheme="minorEastAsia" w:hAnsiTheme="minorEastAsia"/>
                <w:sz w:val="18"/>
                <w:szCs w:val="18"/>
              </w:rPr>
              <w:t>管理人可以</w:t>
            </w:r>
            <w:r>
              <w:rPr>
                <w:rFonts w:hint="eastAsia" w:cs="Times New Roman" w:asciiTheme="minorEastAsia" w:hAnsiTheme="minorEastAsia"/>
                <w:sz w:val="18"/>
                <w:szCs w:val="18"/>
              </w:rPr>
              <w:t>更新产品说明书，约定后续投资周期对应的</w:t>
            </w:r>
            <w:r>
              <w:rPr>
                <w:rFonts w:asciiTheme="majorEastAsia" w:hAnsiTheme="majorEastAsia" w:eastAsiaTheme="majorEastAsia"/>
                <w:bCs/>
                <w:color w:val="000000" w:themeColor="text1"/>
                <w:sz w:val="18"/>
                <w:szCs w:val="18"/>
                <w14:textFill>
                  <w14:solidFill>
                    <w14:schemeClr w14:val="tx1"/>
                  </w14:solidFill>
                </w14:textFill>
              </w:rPr>
              <w:t>预约申购期/</w:t>
            </w:r>
            <w:r>
              <w:rPr>
                <w:rFonts w:hint="eastAsia" w:asciiTheme="majorEastAsia" w:hAnsiTheme="majorEastAsia" w:eastAsiaTheme="majorEastAsia"/>
                <w:bCs/>
                <w:color w:val="000000" w:themeColor="text1"/>
                <w:sz w:val="18"/>
                <w:szCs w:val="18"/>
                <w14:textFill>
                  <w14:solidFill>
                    <w14:schemeClr w14:val="tx1"/>
                  </w14:solidFill>
                </w14:textFill>
              </w:rPr>
              <w:t>预约赎回期。</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w:t>
            </w:r>
            <w:r>
              <w:rPr>
                <w:rFonts w:ascii="黑体" w:hAnsi="黑体" w:eastAsia="黑体"/>
                <w:bCs/>
                <w:color w:val="000000" w:themeColor="text1"/>
                <w:sz w:val="18"/>
                <w:szCs w:val="18"/>
                <w14:textFill>
                  <w14:solidFill>
                    <w14:schemeClr w14:val="tx1"/>
                  </w14:solidFill>
                </w14:textFill>
              </w:rPr>
              <w:t>以</w:t>
            </w:r>
            <w:r>
              <w:rPr>
                <w:rFonts w:hint="eastAsia" w:ascii="黑体" w:hAnsi="黑体" w:eastAsia="黑体"/>
                <w:bCs/>
                <w:color w:val="000000" w:themeColor="text1"/>
                <w:sz w:val="18"/>
                <w:szCs w:val="18"/>
                <w14:textFill>
                  <w14:solidFill>
                    <w14:schemeClr w14:val="tx1"/>
                  </w14:solidFill>
                </w14:textFill>
              </w:rPr>
              <w:t>代理销售机构的展示</w:t>
            </w:r>
            <w:r>
              <w:rPr>
                <w:rFonts w:ascii="黑体" w:hAnsi="黑体" w:eastAsia="黑体"/>
                <w:bCs/>
                <w:color w:val="000000" w:themeColor="text1"/>
                <w:sz w:val="18"/>
                <w:szCs w:val="18"/>
                <w14:textFill>
                  <w14:solidFill>
                    <w14:schemeClr w14:val="tx1"/>
                  </w14:solidFill>
                </w14:textFill>
              </w:rPr>
              <w:t>为准</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②代理销售机构的实际工作服务时段，最早不得早于销售文件约定</w:t>
            </w:r>
            <w:r>
              <w:rPr>
                <w:rFonts w:ascii="黑体" w:hAnsi="黑体" w:eastAsia="黑体"/>
                <w:bCs/>
                <w:color w:val="000000" w:themeColor="text1"/>
                <w:sz w:val="18"/>
                <w:szCs w:val="18"/>
                <w14:textFill>
                  <w14:solidFill>
                    <w14:schemeClr w14:val="tx1"/>
                  </w14:solidFill>
                </w14:textFill>
              </w:rPr>
              <w:t>的</w:t>
            </w:r>
            <w:r>
              <w:rPr>
                <w:rFonts w:hint="eastAsia" w:ascii="黑体" w:hAnsi="黑体" w:eastAsia="黑体"/>
                <w:bCs/>
                <w:color w:val="000000" w:themeColor="text1"/>
                <w:sz w:val="18"/>
                <w:szCs w:val="18"/>
                <w14:textFill>
                  <w14:solidFill>
                    <w14:schemeClr w14:val="tx1"/>
                  </w14:solidFill>
                </w14:textFill>
              </w:rPr>
              <w:t>起始时点、最晚不得晚于销售文件</w:t>
            </w:r>
            <w:r>
              <w:rPr>
                <w:rFonts w:ascii="黑体" w:hAnsi="黑体" w:eastAsia="黑体"/>
                <w:bCs/>
                <w:color w:val="000000" w:themeColor="text1"/>
                <w:sz w:val="18"/>
                <w:szCs w:val="18"/>
                <w14:textFill>
                  <w14:solidFill>
                    <w14:schemeClr w14:val="tx1"/>
                  </w14:solidFill>
                </w14:textFill>
              </w:rPr>
              <w:t>约定的</w:t>
            </w:r>
            <w:r>
              <w:rPr>
                <w:rFonts w:hint="eastAsia" w:ascii="黑体" w:hAnsi="黑体" w:eastAsia="黑体"/>
                <w:bCs/>
                <w:color w:val="000000" w:themeColor="text1"/>
                <w:sz w:val="18"/>
                <w:szCs w:val="18"/>
                <w14:textFill>
                  <w14:solidFill>
                    <w14:schemeClr w14:val="tx1"/>
                  </w14:solidFill>
                </w14:textFill>
              </w:rPr>
              <w:t>终止时点</w:t>
            </w:r>
            <w:r>
              <w:rPr>
                <w:rFonts w:ascii="黑体" w:hAnsi="黑体" w:eastAsia="黑体"/>
                <w:bCs/>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sz w:val="18"/>
                <w:szCs w:val="18"/>
              </w:rPr>
              <w:t>每笔</w:t>
            </w:r>
            <w:r>
              <w:rPr>
                <w:rFonts w:hint="eastAsia" w:asciiTheme="majorEastAsia" w:hAnsiTheme="majorEastAsia" w:eastAsiaTheme="majorEastAsia"/>
                <w:bCs/>
                <w:sz w:val="18"/>
                <w:szCs w:val="18"/>
              </w:rPr>
              <w:t>购买起点金额为【1.00】元；超出起点金额的部分以【0.01】元的整数倍递增。</w:t>
            </w:r>
            <w:r>
              <w:rPr>
                <w:rFonts w:hint="eastAsia" w:asciiTheme="majorEastAsia" w:hAnsiTheme="majorEastAsia" w:eastAsiaTheme="majorEastAsia"/>
                <w:bCs/>
                <w:color w:val="000000" w:themeColor="text1"/>
                <w:sz w:val="18"/>
                <w:szCs w:val="18"/>
                <w14:textFill>
                  <w14:solidFill>
                    <w14:schemeClr w14:val="tx1"/>
                  </w14:solidFill>
                </w14:textFill>
              </w:rPr>
              <w:t>（适用【A/B</w:t>
            </w:r>
            <w:r>
              <w:rPr>
                <w:rFonts w:asciiTheme="majorEastAsia" w:hAnsiTheme="majorEastAsia" w:eastAsiaTheme="majorEastAsia"/>
                <w:bCs/>
                <w:color w:val="000000" w:themeColor="text1"/>
                <w:sz w:val="18"/>
                <w:szCs w:val="18"/>
                <w14:textFill>
                  <w14:solidFill>
                    <w14:schemeClr w14:val="tx1"/>
                  </w14:solidFill>
                </w14:textFill>
              </w:rPr>
              <w:t>/C</w:t>
            </w:r>
            <w:r>
              <w:rPr>
                <w:rFonts w:hint="eastAsia" w:asciiTheme="majorEastAsia" w:hAnsiTheme="majorEastAsia" w:eastAsiaTheme="majorEastAsia"/>
                <w:bCs/>
                <w:color w:val="000000" w:themeColor="text1"/>
                <w:sz w:val="18"/>
                <w:szCs w:val="18"/>
                <w14:textFill>
                  <w14:solidFill>
                    <w14:schemeClr w14:val="tx1"/>
                  </w14:solidFill>
                </w14:textFill>
              </w:rPr>
              <w:t>】类份额）</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autoSpaceDE w:val="0"/>
              <w:autoSpaceDN w:val="0"/>
              <w:adjustRightInd w:val="0"/>
              <w:spacing w:line="360" w:lineRule="auto"/>
              <w:jc w:val="left"/>
              <w:rPr>
                <w:rFonts w:hAnsi="宋体"/>
                <w:b/>
                <w:sz w:val="18"/>
                <w:szCs w:val="18"/>
              </w:rPr>
            </w:pPr>
            <w:r>
              <w:rPr>
                <w:rFonts w:hint="eastAsia" w:hAnsi="宋体"/>
                <w:b/>
                <w:sz w:val="18"/>
                <w:szCs w:val="18"/>
              </w:rPr>
              <w:t xml:space="preserve">★认购、申购与赎回的数量限制 </w:t>
            </w:r>
            <w:r>
              <w:rPr>
                <w:rFonts w:hAnsi="宋体"/>
                <w:b/>
                <w:sz w:val="18"/>
                <w:szCs w:val="18"/>
              </w:rPr>
              <w:t xml:space="preserve"> </w:t>
            </w:r>
          </w:p>
        </w:tc>
        <w:tc>
          <w:tcPr>
            <w:tcW w:w="7704" w:type="dxa"/>
            <w:shd w:val="solid" w:color="FFFFFF" w:fill="FFFFFF"/>
            <w:vAlign w:val="center"/>
          </w:tcPr>
          <w:p>
            <w:pPr>
              <w:pStyle w:val="18"/>
              <w:spacing w:line="360" w:lineRule="auto"/>
              <w:rPr>
                <w:rFonts w:asciiTheme="minorEastAsia" w:hAnsiTheme="minorEastAsia" w:eastAsiaTheme="minorEastAsia"/>
                <w:color w:val="auto"/>
                <w:sz w:val="18"/>
                <w:szCs w:val="18"/>
              </w:rPr>
            </w:pPr>
            <w:r>
              <w:rPr>
                <w:rFonts w:hint="eastAsia" w:hAnsi="宋体"/>
                <w:bCs/>
                <w:sz w:val="18"/>
                <w:szCs w:val="18"/>
              </w:rPr>
              <w:t>（适用【/】类</w:t>
            </w:r>
            <w:r>
              <w:rPr>
                <w:rFonts w:hAnsi="宋体"/>
                <w:bCs/>
                <w:sz w:val="18"/>
                <w:szCs w:val="18"/>
              </w:rPr>
              <w:t>份额</w:t>
            </w:r>
            <w:r>
              <w:rPr>
                <w:rFonts w:hint="eastAsia" w:hAnsi="宋体"/>
                <w:bCs/>
                <w:sz w:val="18"/>
                <w:szCs w:val="18"/>
              </w:rPr>
              <w:t>）</w:t>
            </w:r>
          </w:p>
          <w:p>
            <w:pPr>
              <w:pStyle w:val="18"/>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1.认购的数量限制</w:t>
            </w:r>
          </w:p>
          <w:p>
            <w:pPr>
              <w:pStyle w:val="18"/>
              <w:spacing w:line="360" w:lineRule="auto"/>
              <w:rPr>
                <w:rFonts w:hAnsi="宋体"/>
                <w:bCs/>
                <w:sz w:val="18"/>
                <w:szCs w:val="18"/>
              </w:rPr>
            </w:pPr>
            <w:r>
              <w:rPr>
                <w:rFonts w:hint="eastAsia" w:asciiTheme="minorEastAsia" w:hAnsiTheme="minorEastAsia" w:eastAsiaTheme="minorEastAsia"/>
                <w:color w:val="auto"/>
                <w:sz w:val="18"/>
                <w:szCs w:val="18"/>
              </w:rPr>
              <w:t>单一投资者认购上限为【/】。如需突破上限，请与产品管理人或销售机构客户经理联系。</w:t>
            </w:r>
          </w:p>
          <w:p>
            <w:pPr>
              <w:pStyle w:val="18"/>
              <w:spacing w:line="360" w:lineRule="auto"/>
              <w:rPr>
                <w:rFonts w:asciiTheme="minorEastAsia" w:hAnsiTheme="minorEastAsia" w:eastAsiaTheme="minorEastAsia"/>
                <w:color w:val="auto"/>
                <w:sz w:val="18"/>
                <w:szCs w:val="18"/>
              </w:rPr>
            </w:pPr>
            <w:r>
              <w:rPr>
                <w:rFonts w:hint="eastAsia" w:hAnsi="宋体"/>
                <w:bCs/>
                <w:sz w:val="18"/>
                <w:szCs w:val="18"/>
              </w:rPr>
              <w:t>2.</w:t>
            </w:r>
            <w:r>
              <w:rPr>
                <w:rFonts w:hint="eastAsia" w:asciiTheme="minorEastAsia" w:hAnsiTheme="minorEastAsia" w:eastAsiaTheme="minorEastAsia"/>
                <w:color w:val="auto"/>
                <w:sz w:val="18"/>
                <w:szCs w:val="18"/>
              </w:rPr>
              <w:t>申购的数量限制</w:t>
            </w:r>
          </w:p>
          <w:p>
            <w:pPr>
              <w:pStyle w:val="18"/>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（1）单一投资者申购上限为【/】。</w:t>
            </w:r>
          </w:p>
          <w:p>
            <w:pPr>
              <w:pStyle w:val="18"/>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【/】份，符合产品管理人流动性管理的稳定资金除外。</w:t>
            </w:r>
          </w:p>
          <w:p>
            <w:pPr>
              <w:pStyle w:val="18"/>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18"/>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3.赎回的数量限制</w:t>
            </w:r>
          </w:p>
          <w:p>
            <w:pPr>
              <w:pStyle w:val="18"/>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（1）单一投资者赎回上限为【/】。</w:t>
            </w:r>
          </w:p>
          <w:p>
            <w:pPr>
              <w:pStyle w:val="18"/>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投资者可全部或部分赎回其理财份额，但是部分赎回后单一投资者持有产品份额不得低于【/】份。受理财利益分配去尾规则的影响，投资者持有产品份额较低时可能无法取得利益。巨额赎回情景发生时，投资者的可赎回份额需要根据巨额赎回规则确定。</w:t>
            </w:r>
          </w:p>
          <w:p>
            <w:pPr>
              <w:pStyle w:val="18"/>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注</w:t>
            </w:r>
            <w:r>
              <w:rPr>
                <w:rFonts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本产品单一投资者持有份额不得超过产品总份额</w:t>
            </w:r>
            <w:r>
              <w:rPr>
                <w:rFonts w:ascii="黑体" w:hAnsi="黑体" w:eastAsia="黑体"/>
                <w:bCs/>
                <w:color w:val="000000" w:themeColor="text1"/>
                <w:sz w:val="18"/>
                <w:szCs w:val="18"/>
                <w14:textFill>
                  <w14:solidFill>
                    <w14:schemeClr w14:val="tx1"/>
                  </w14:solidFill>
                </w14:textFill>
              </w:rPr>
              <w:t>50%。</w:t>
            </w:r>
          </w:p>
          <w:p>
            <w:pPr>
              <w:pStyle w:val="18"/>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pStyle w:val="18"/>
              <w:spacing w:line="360" w:lineRule="auto"/>
              <w:rPr>
                <w:rFonts w:asciiTheme="minorEastAsia" w:hAnsiTheme="minorEastAsia" w:eastAsiaTheme="minorEastAsia"/>
                <w:color w:val="auto"/>
                <w:sz w:val="18"/>
                <w:szCs w:val="18"/>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hAnsi="宋体"/>
                <w:b/>
                <w:sz w:val="18"/>
                <w:szCs w:val="18"/>
              </w:rPr>
            </w:pPr>
            <w:r>
              <w:rPr>
                <w:rFonts w:hint="eastAsia"/>
                <w:sz w:val="18"/>
                <w:szCs w:val="18"/>
              </w:rPr>
              <w:t>★</w:t>
            </w:r>
            <w:r>
              <w:rPr>
                <w:rFonts w:hint="eastAsia" w:hAnsi="宋体"/>
                <w:b/>
                <w:sz w:val="18"/>
                <w:szCs w:val="18"/>
              </w:rPr>
              <w:t>巨额赎回的认定</w:t>
            </w:r>
          </w:p>
        </w:tc>
        <w:tc>
          <w:tcPr>
            <w:tcW w:w="7704" w:type="dxa"/>
            <w:shd w:val="solid" w:color="FFFFFF" w:fill="FFFFFF"/>
          </w:tcPr>
          <w:p>
            <w:pPr>
              <w:pStyle w:val="18"/>
              <w:spacing w:line="360" w:lineRule="auto"/>
              <w:rPr>
                <w:rFonts w:asciiTheme="minorEastAsia" w:hAnsiTheme="minorEastAsia" w:eastAsiaTheme="minorEastAsia"/>
                <w:color w:val="auto"/>
                <w:sz w:val="18"/>
                <w:szCs w:val="18"/>
              </w:rPr>
            </w:pPr>
            <w:r>
              <w:rPr>
                <w:rFonts w:hint="eastAsia" w:asciiTheme="majorEastAsia" w:hAnsiTheme="majorEastAsia" w:eastAsiaTheme="majorEastAsia"/>
                <w:bCs/>
                <w:sz w:val="18"/>
                <w:szCs w:val="18"/>
              </w:rPr>
              <w:t>预约赎回期中，本产品的累计产品份额净预约赎回申请（预约赎回申请总份额扣除预约申购总份额后的余额</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下同）之和达到赎回日上一日产品总份额的【10】</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，为巨额赎回。</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70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70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日之前的估值日公布的产品份额净值已扣除理财产品的费用和税收。</w:t>
            </w:r>
          </w:p>
          <w:p>
            <w:pPr>
              <w:spacing w:line="360" w:lineRule="auto"/>
              <w:jc w:val="left"/>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赎回日</w:t>
            </w:r>
            <w:r>
              <w:rPr>
                <w:rFonts w:asciiTheme="majorEastAsia" w:hAnsiTheme="majorEastAsia" w:eastAsiaTheme="majorEastAsia"/>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704" w:type="dxa"/>
            <w:shd w:val="solid" w:color="FFFFFF" w:fill="FFFFFF"/>
            <w:vAlign w:val="center"/>
          </w:tcPr>
          <w:p>
            <w:pPr>
              <w:spacing w:line="360" w:lineRule="auto"/>
              <w:jc w:val="left"/>
              <w:rPr>
                <w:rFonts w:ascii="宋体" w:hAnsi="宋体"/>
                <w:b/>
                <w:bCs/>
                <w:sz w:val="18"/>
                <w:szCs w:val="18"/>
              </w:rPr>
            </w:pPr>
            <w:r>
              <w:rPr>
                <w:rFonts w:hint="eastAsia" w:hAnsi="宋体"/>
                <w:bCs/>
                <w:sz w:val="18"/>
                <w:szCs w:val="18"/>
              </w:rPr>
              <w:t>（适用【/】类</w:t>
            </w:r>
            <w:r>
              <w:rPr>
                <w:rFonts w:hAnsi="宋体"/>
                <w:bCs/>
                <w:sz w:val="18"/>
                <w:szCs w:val="18"/>
              </w:rPr>
              <w:t>份额</w:t>
            </w:r>
            <w:r>
              <w:rPr>
                <w:rFonts w:hint="eastAsia" w:hAnsi="宋体"/>
                <w:bCs/>
                <w:sz w:val="18"/>
                <w:szCs w:val="18"/>
              </w:rPr>
              <w:t>）</w:t>
            </w:r>
          </w:p>
          <w:p>
            <w:pPr>
              <w:spacing w:line="360" w:lineRule="auto"/>
              <w:jc w:val="left"/>
              <w:rPr>
                <w:rFonts w:ascii="宋体" w:hAnsi="宋体"/>
                <w:b/>
                <w:bCs/>
                <w:sz w:val="18"/>
                <w:szCs w:val="18"/>
              </w:rPr>
            </w:pPr>
            <w:r>
              <w:rPr>
                <w:rFonts w:hint="eastAsia" w:ascii="宋体" w:hAnsi="宋体"/>
                <w:b/>
                <w:bCs/>
                <w:sz w:val="18"/>
                <w:szCs w:val="18"/>
              </w:rPr>
              <w:t>1.业绩比较基准的设置</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产品管理人设置业绩比较基准。</w:t>
            </w:r>
          </w:p>
          <w:p>
            <w:pPr>
              <w:spacing w:line="360" w:lineRule="auto"/>
              <w:jc w:val="left"/>
              <w:rPr>
                <w:rFonts w:asciiTheme="majorEastAsia" w:hAnsiTheme="majorEastAsia"/>
                <w:bCs/>
                <w:sz w:val="18"/>
                <w:szCs w:val="18"/>
              </w:rPr>
            </w:pPr>
            <w:r>
              <w:rPr>
                <w:rFonts w:hint="eastAsia" w:ascii="宋体" w:hAnsi="宋体"/>
                <w:bCs/>
                <w:sz w:val="18"/>
                <w:szCs w:val="18"/>
              </w:rPr>
              <w:t>（1）业绩比较基准的说明：【</w:t>
            </w:r>
            <w:r>
              <w:rPr>
                <w:rFonts w:hint="eastAsia" w:asciiTheme="majorEastAsia" w:hAnsiTheme="majorEastAsia" w:eastAsiaTheme="majorEastAsia"/>
                <w:bCs/>
                <w:sz w:val="18"/>
                <w:szCs w:val="18"/>
              </w:rPr>
              <w:t>以一年期定期存款利率为无风险利率，基于当前对未来市场的判断，根据拟投资债权类资产的信用利差、久期敞口以及流动性溢价，预判组合的波动幅度，设定业绩比较基准</w:t>
            </w:r>
            <w:r>
              <w:rPr>
                <w:rFonts w:ascii="宋体" w:hAnsi="宋体"/>
                <w:bCs/>
                <w:sz w:val="18"/>
                <w:szCs w:val="18"/>
              </w:rPr>
              <w:t>】</w:t>
            </w:r>
            <w:r>
              <w:rPr>
                <w:rFonts w:hint="eastAsia" w:ascii="宋体" w:hAnsi="宋体"/>
                <w:bCs/>
                <w:sz w:val="18"/>
                <w:szCs w:val="18"/>
              </w:rPr>
              <w:t>。</w:t>
            </w:r>
          </w:p>
          <w:p>
            <w:pPr>
              <w:spacing w:line="360" w:lineRule="auto"/>
              <w:jc w:val="left"/>
              <w:rPr>
                <w:rFonts w:asciiTheme="majorEastAsia" w:hAnsiTheme="majorEastAsia"/>
                <w:sz w:val="18"/>
              </w:rPr>
            </w:pPr>
            <w:r>
              <w:rPr>
                <w:rFonts w:hint="eastAsia" w:asciiTheme="majorEastAsia" w:hAnsiTheme="majorEastAsia" w:eastAsiaTheme="majorEastAsia"/>
                <w:bCs/>
                <w:sz w:val="18"/>
                <w:szCs w:val="18"/>
              </w:rPr>
              <w:t>（2）</w:t>
            </w:r>
            <w:r>
              <w:rPr>
                <w:rFonts w:asciiTheme="majorEastAsia" w:hAnsiTheme="majorEastAsia" w:eastAsiaTheme="majorEastAsia"/>
                <w:bCs/>
                <w:sz w:val="18"/>
                <w:szCs w:val="18"/>
              </w:rPr>
              <w:t>业绩比较基准的设定</w:t>
            </w:r>
            <w:r>
              <w:rPr>
                <w:rFonts w:hint="eastAsia" w:asciiTheme="majorEastAsia" w:hAnsiTheme="majorEastAsia" w:eastAsiaTheme="majorEastAsia"/>
                <w:bCs/>
                <w:sz w:val="18"/>
                <w:szCs w:val="18"/>
              </w:rPr>
              <w:t>：</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p>
          <w:p>
            <w:pPr>
              <w:spacing w:line="360" w:lineRule="auto"/>
              <w:jc w:val="left"/>
              <w:rPr>
                <w:rFonts w:ascii="宋体" w:hAnsi="宋体"/>
                <w:bCs/>
                <w:sz w:val="18"/>
                <w:szCs w:val="18"/>
              </w:rPr>
            </w:pPr>
            <w:r>
              <w:rPr>
                <w:rFonts w:asciiTheme="majorEastAsia" w:hAnsiTheme="majorEastAsia"/>
                <w:sz w:val="18"/>
              </w:rPr>
              <w:t>A</w:t>
            </w:r>
            <w:r>
              <w:rPr>
                <w:rFonts w:hint="eastAsia" w:asciiTheme="majorEastAsia" w:hAnsiTheme="majorEastAsia"/>
                <w:sz w:val="18"/>
              </w:rPr>
              <w:t>类份额：年化</w:t>
            </w:r>
            <w:r>
              <w:rPr>
                <w:rFonts w:hint="eastAsia" w:ascii="宋体" w:hAnsi="宋体"/>
                <w:bCs/>
                <w:sz w:val="18"/>
                <w:szCs w:val="18"/>
              </w:rPr>
              <w:t>【</w:t>
            </w:r>
            <w:r>
              <w:rPr>
                <w:rFonts w:ascii="宋体" w:hAnsi="宋体"/>
                <w:bCs/>
                <w:sz w:val="18"/>
                <w:szCs w:val="18"/>
              </w:rPr>
              <w:t>1.8</w:t>
            </w:r>
            <w:r>
              <w:rPr>
                <w:rFonts w:hint="eastAsia" w:ascii="宋体" w:hAnsi="宋体"/>
                <w:bCs/>
                <w:sz w:val="18"/>
                <w:szCs w:val="18"/>
              </w:rPr>
              <w:t>0%-</w:t>
            </w:r>
            <w:r>
              <w:t xml:space="preserve"> </w:t>
            </w:r>
            <w:r>
              <w:rPr>
                <w:rFonts w:ascii="宋体" w:hAnsi="宋体"/>
                <w:bCs/>
                <w:sz w:val="18"/>
                <w:szCs w:val="18"/>
              </w:rPr>
              <w:t>2.9</w:t>
            </w:r>
            <w:r>
              <w:rPr>
                <w:rFonts w:hint="eastAsia" w:ascii="宋体" w:hAnsi="宋体"/>
                <w:bCs/>
                <w:sz w:val="18"/>
                <w:szCs w:val="18"/>
              </w:rPr>
              <w:t>0%</w:t>
            </w:r>
            <w:r>
              <w:rPr>
                <w:rFonts w:ascii="宋体" w:hAnsi="宋体"/>
                <w:bCs/>
                <w:sz w:val="18"/>
                <w:szCs w:val="18"/>
              </w:rPr>
              <w:t>】</w:t>
            </w:r>
            <w:r>
              <w:rPr>
                <w:rFonts w:hint="eastAsia" w:ascii="宋体" w:hAnsi="宋体"/>
                <w:bCs/>
                <w:sz w:val="18"/>
                <w:szCs w:val="18"/>
              </w:rPr>
              <w:t>；</w:t>
            </w:r>
          </w:p>
          <w:p>
            <w:pPr>
              <w:spacing w:line="360" w:lineRule="auto"/>
              <w:rPr>
                <w:rFonts w:ascii="宋体" w:hAnsi="宋体"/>
                <w:bCs/>
                <w:color w:val="000000" w:themeColor="text1"/>
                <w:sz w:val="18"/>
                <w:szCs w:val="18"/>
                <w14:textFill>
                  <w14:solidFill>
                    <w14:schemeClr w14:val="tx1"/>
                  </w14:solidFill>
                </w14:textFill>
              </w:rPr>
            </w:pPr>
            <w:r>
              <w:rPr>
                <w:rFonts w:asciiTheme="majorEastAsia" w:hAnsiTheme="majorEastAsia"/>
                <w:sz w:val="18"/>
              </w:rPr>
              <w:t>B</w:t>
            </w:r>
            <w:r>
              <w:rPr>
                <w:rFonts w:hint="eastAsia" w:asciiTheme="majorEastAsia" w:hAnsiTheme="majorEastAsia"/>
                <w:sz w:val="18"/>
              </w:rPr>
              <w:t>类份额：</w:t>
            </w:r>
            <w:r>
              <w:rPr>
                <w:rFonts w:hint="eastAsia" w:asciiTheme="majorEastAsia" w:hAnsiTheme="majorEastAsia" w:eastAsiaTheme="majorEastAsia"/>
                <w:bCs/>
                <w:sz w:val="18"/>
                <w:szCs w:val="18"/>
              </w:rPr>
              <w:t>年化</w:t>
            </w:r>
            <w:r>
              <w:rPr>
                <w:rFonts w:hint="eastAsia" w:asciiTheme="majorEastAsia" w:hAnsiTheme="majorEastAsia" w:eastAsiaTheme="majorEastAsia"/>
                <w:sz w:val="18"/>
                <w:szCs w:val="18"/>
              </w:rPr>
              <w:t>【</w:t>
            </w:r>
            <w:r>
              <w:rPr>
                <w:rFonts w:ascii="宋体" w:hAnsi="宋体"/>
                <w:bCs/>
                <w:sz w:val="18"/>
                <w:szCs w:val="18"/>
              </w:rPr>
              <w:t>1.7</w:t>
            </w:r>
            <w:r>
              <w:rPr>
                <w:rFonts w:hint="eastAsia" w:ascii="宋体" w:hAnsi="宋体"/>
                <w:bCs/>
                <w:sz w:val="18"/>
                <w:szCs w:val="18"/>
              </w:rPr>
              <w:t>0%-</w:t>
            </w:r>
            <w:r>
              <w:t xml:space="preserve"> </w:t>
            </w:r>
            <w:r>
              <w:rPr>
                <w:rFonts w:ascii="宋体" w:hAnsi="宋体"/>
                <w:bCs/>
                <w:sz w:val="18"/>
                <w:szCs w:val="18"/>
              </w:rPr>
              <w:t>2.80</w:t>
            </w:r>
            <w:r>
              <w:rPr>
                <w:rFonts w:hint="eastAsia" w:ascii="宋体" w:hAnsi="宋体"/>
                <w:bCs/>
                <w:sz w:val="18"/>
                <w:szCs w:val="18"/>
              </w:rPr>
              <w:t>%</w:t>
            </w:r>
            <w:r>
              <w:rPr>
                <w:rFonts w:hint="eastAsia"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Cs/>
                <w:color w:val="000000" w:themeColor="text1"/>
                <w:sz w:val="18"/>
                <w:szCs w:val="18"/>
                <w14:textFill>
                  <w14:solidFill>
                    <w14:schemeClr w14:val="tx1"/>
                  </w14:solidFill>
                </w14:textFill>
              </w:rPr>
            </w:pPr>
            <w:r>
              <w:rPr>
                <w:rFonts w:asciiTheme="majorEastAsia" w:hAnsiTheme="majorEastAsia"/>
                <w:sz w:val="18"/>
              </w:rPr>
              <w:t>C</w:t>
            </w:r>
            <w:r>
              <w:rPr>
                <w:rFonts w:hint="eastAsia" w:asciiTheme="majorEastAsia" w:hAnsiTheme="majorEastAsia"/>
                <w:sz w:val="18"/>
              </w:rPr>
              <w:t>类份额：</w:t>
            </w:r>
            <w:r>
              <w:rPr>
                <w:rFonts w:hint="eastAsia" w:asciiTheme="majorEastAsia" w:hAnsiTheme="majorEastAsia" w:eastAsiaTheme="majorEastAsia"/>
                <w:bCs/>
                <w:sz w:val="18"/>
                <w:szCs w:val="18"/>
              </w:rPr>
              <w:t>年化</w:t>
            </w:r>
            <w:r>
              <w:rPr>
                <w:rFonts w:hint="eastAsia" w:asciiTheme="majorEastAsia" w:hAnsiTheme="majorEastAsia" w:eastAsiaTheme="majorEastAsia"/>
                <w:sz w:val="18"/>
                <w:szCs w:val="18"/>
              </w:rPr>
              <w:t>【</w:t>
            </w:r>
            <w:r>
              <w:rPr>
                <w:rFonts w:ascii="宋体" w:hAnsi="宋体"/>
                <w:bCs/>
                <w:sz w:val="18"/>
                <w:szCs w:val="18"/>
              </w:rPr>
              <w:t>1.85</w:t>
            </w:r>
            <w:r>
              <w:rPr>
                <w:rFonts w:hint="eastAsia" w:ascii="宋体" w:hAnsi="宋体"/>
                <w:bCs/>
                <w:sz w:val="18"/>
                <w:szCs w:val="18"/>
              </w:rPr>
              <w:t>%-</w:t>
            </w:r>
            <w:r>
              <w:t xml:space="preserve"> </w:t>
            </w:r>
            <w:r>
              <w:rPr>
                <w:rFonts w:ascii="宋体" w:hAnsi="宋体"/>
                <w:bCs/>
                <w:sz w:val="18"/>
                <w:szCs w:val="18"/>
              </w:rPr>
              <w:t>2.95</w:t>
            </w:r>
            <w:r>
              <w:rPr>
                <w:rFonts w:hint="eastAsia" w:ascii="宋体" w:hAnsi="宋体"/>
                <w:bCs/>
                <w:sz w:val="18"/>
                <w:szCs w:val="18"/>
              </w:rPr>
              <w:t>%</w:t>
            </w:r>
            <w:r>
              <w:rPr>
                <w:rFonts w:hint="eastAsia"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
                <w:kern w:val="0"/>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产品管理人不设置业绩比较基准。</w:t>
            </w:r>
          </w:p>
          <w:p>
            <w:pPr>
              <w:spacing w:line="360" w:lineRule="auto"/>
              <w:jc w:val="left"/>
              <w:rPr>
                <w:rFonts w:asciiTheme="majorEastAsia" w:hAnsiTheme="majorEastAsia" w:eastAsiaTheme="majorEastAsia"/>
                <w:b/>
                <w:bCs/>
                <w:sz w:val="18"/>
                <w:szCs w:val="18"/>
              </w:rPr>
            </w:pPr>
            <w:r>
              <w:rPr>
                <w:rFonts w:asciiTheme="majorEastAsia" w:hAnsiTheme="majorEastAsia" w:eastAsiaTheme="majorEastAsia"/>
                <w:b/>
                <w:bCs/>
                <w:sz w:val="18"/>
                <w:szCs w:val="18"/>
              </w:rPr>
              <w:t>2</w:t>
            </w:r>
            <w:r>
              <w:rPr>
                <w:rFonts w:hint="eastAsia" w:asciiTheme="majorEastAsia" w:hAnsiTheme="majorEastAsia" w:eastAsiaTheme="majorEastAsia"/>
                <w:b/>
                <w:bCs/>
                <w:sz w:val="18"/>
                <w:szCs w:val="18"/>
              </w:rPr>
              <w:t>.业绩比较基准的提示：</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（1）</w:t>
            </w:r>
            <w:r>
              <w:rPr>
                <w:rFonts w:hint="eastAsia"/>
                <w:sz w:val="18"/>
                <w:szCs w:val="18"/>
              </w:rPr>
              <w:t>★</w:t>
            </w:r>
            <w:r>
              <w:rPr>
                <w:rFonts w:hint="eastAsia"/>
                <w:b/>
                <w:sz w:val="18"/>
              </w:rPr>
              <w:t>业绩比较基准</w:t>
            </w:r>
            <w:r>
              <w:rPr>
                <w:rFonts w:hint="eastAsia"/>
                <w:b/>
                <w:bCs/>
                <w:sz w:val="18"/>
                <w:szCs w:val="18"/>
              </w:rPr>
              <w:t>不是预期收益率，</w:t>
            </w:r>
            <w:r>
              <w:rPr>
                <w:rFonts w:hint="eastAsia"/>
                <w:b/>
                <w:sz w:val="18"/>
              </w:rPr>
              <w:t>不代表产品</w:t>
            </w:r>
            <w:r>
              <w:rPr>
                <w:rFonts w:hint="eastAsia"/>
                <w:b/>
                <w:bCs/>
                <w:sz w:val="18"/>
                <w:szCs w:val="18"/>
              </w:rPr>
              <w:t>的</w:t>
            </w:r>
            <w:r>
              <w:rPr>
                <w:rFonts w:hint="eastAsia"/>
                <w:b/>
                <w:sz w:val="18"/>
              </w:rPr>
              <w:t>未来表现</w:t>
            </w:r>
            <w:r>
              <w:rPr>
                <w:rFonts w:hint="eastAsia"/>
                <w:b/>
                <w:bCs/>
                <w:sz w:val="18"/>
                <w:szCs w:val="18"/>
              </w:rPr>
              <w:t>和</w:t>
            </w:r>
            <w:r>
              <w:rPr>
                <w:rFonts w:hint="eastAsia"/>
                <w:b/>
                <w:sz w:val="18"/>
              </w:rPr>
              <w:t>实际收益，不</w:t>
            </w:r>
            <w:r>
              <w:rPr>
                <w:rFonts w:hint="eastAsia"/>
                <w:b/>
                <w:bCs/>
                <w:sz w:val="18"/>
                <w:szCs w:val="18"/>
              </w:rPr>
              <w:t>构成对</w:t>
            </w:r>
            <w:r>
              <w:rPr>
                <w:rFonts w:hint="eastAsia"/>
                <w:b/>
                <w:sz w:val="18"/>
              </w:rPr>
              <w:t>产品收益的</w:t>
            </w:r>
            <w:r>
              <w:rPr>
                <w:rFonts w:hint="eastAsia"/>
                <w:b/>
                <w:bCs/>
                <w:sz w:val="18"/>
                <w:szCs w:val="18"/>
              </w:rPr>
              <w:t>承诺</w:t>
            </w:r>
            <w:r>
              <w:rPr>
                <w:rFonts w:hint="eastAsia"/>
                <w:b/>
                <w:sz w:val="18"/>
              </w:rPr>
              <w:t>，投资须谨慎。</w:t>
            </w:r>
          </w:p>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业绩报酬计提基准</w:t>
            </w:r>
          </w:p>
        </w:tc>
        <w:tc>
          <w:tcPr>
            <w:tcW w:w="7704" w:type="dxa"/>
            <w:shd w:val="solid" w:color="FFFFFF" w:fill="FFFFFF"/>
            <w:vAlign w:val="center"/>
          </w:tcPr>
          <w:p>
            <w:pPr>
              <w:spacing w:line="360" w:lineRule="auto"/>
              <w:jc w:val="left"/>
              <w:rPr>
                <w:rFonts w:hAnsi="宋体"/>
                <w:bCs/>
                <w:sz w:val="18"/>
                <w:szCs w:val="18"/>
              </w:rPr>
            </w:pPr>
            <w:r>
              <w:rPr>
                <w:rFonts w:hint="eastAsia" w:hAnsi="宋体"/>
                <w:bCs/>
                <w:sz w:val="18"/>
                <w:szCs w:val="18"/>
              </w:rPr>
              <w:t>（适用【/】类</w:t>
            </w:r>
            <w:r>
              <w:rPr>
                <w:rFonts w:hAnsi="宋体"/>
                <w:bCs/>
                <w:sz w:val="18"/>
                <w:szCs w:val="18"/>
              </w:rPr>
              <w:t>份额</w:t>
            </w:r>
            <w:r>
              <w:rPr>
                <w:rFonts w:hint="eastAsia" w:hAnsi="宋体"/>
                <w:bCs/>
                <w:sz w:val="18"/>
                <w:szCs w:val="18"/>
              </w:rPr>
              <w:t>）</w:t>
            </w:r>
          </w:p>
          <w:p>
            <w:pPr>
              <w:spacing w:line="360" w:lineRule="auto"/>
              <w:jc w:val="left"/>
              <w:rPr>
                <w:rFonts w:ascii="宋体" w:hAnsi="宋体"/>
                <w:b/>
                <w:bCs/>
                <w:sz w:val="18"/>
                <w:szCs w:val="18"/>
              </w:rPr>
            </w:pPr>
            <w:r>
              <w:rPr>
                <w:rFonts w:ascii="宋体" w:hAnsi="宋体"/>
                <w:b/>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产品管理人设置业绩报酬计提基准。</w:t>
            </w:r>
          </w:p>
          <w:p>
            <w:pPr>
              <w:spacing w:line="360" w:lineRule="auto"/>
              <w:jc w:val="left"/>
              <w:rPr>
                <w:rFonts w:ascii="宋体" w:hAnsi="宋体"/>
                <w:sz w:val="18"/>
              </w:rPr>
            </w:pPr>
            <w:r>
              <w:rPr>
                <w:rFonts w:ascii="宋体" w:hAnsi="宋体"/>
                <w:bCs/>
                <w:sz w:val="18"/>
                <w:szCs w:val="18"/>
              </w:rPr>
              <w:t>业绩报酬计提基准的</w:t>
            </w:r>
            <w:r>
              <w:rPr>
                <w:rFonts w:ascii="宋体" w:hAnsi="宋体"/>
                <w:sz w:val="18"/>
              </w:rPr>
              <w:t>设定</w:t>
            </w:r>
            <w:r>
              <w:rPr>
                <w:rFonts w:hint="eastAsia" w:ascii="宋体" w:hAnsi="宋体"/>
                <w:sz w:val="18"/>
              </w:rPr>
              <w:t>：管理人</w:t>
            </w:r>
            <w:r>
              <w:rPr>
                <w:rFonts w:ascii="宋体" w:hAnsi="宋体"/>
                <w:sz w:val="18"/>
              </w:rPr>
              <w:t>对本产品设定</w:t>
            </w:r>
            <w:r>
              <w:rPr>
                <w:rFonts w:hint="eastAsia" w:ascii="宋体" w:hAnsi="宋体"/>
                <w:sz w:val="18"/>
              </w:rPr>
              <w:t>业绩报酬计提基准：【</w:t>
            </w:r>
            <w:r>
              <w:rPr>
                <w:rFonts w:hint="eastAsia" w:ascii="宋体" w:hAnsi="宋体"/>
                <w:bCs/>
                <w:sz w:val="18"/>
                <w:szCs w:val="18"/>
              </w:rPr>
              <w:t>业绩比较基准中枢</w:t>
            </w:r>
            <w:r>
              <w:rPr>
                <w:rFonts w:hint="eastAsia" w:ascii="宋体" w:hAnsi="宋体"/>
                <w:sz w:val="18"/>
              </w:rPr>
              <w:t>】。</w:t>
            </w:r>
          </w:p>
          <w:p>
            <w:pPr>
              <w:spacing w:line="360" w:lineRule="auto"/>
              <w:jc w:val="left"/>
              <w:rPr>
                <w:rFonts w:ascii="宋体" w:hAnsi="宋体"/>
                <w:bCs/>
                <w:sz w:val="18"/>
                <w:szCs w:val="18"/>
              </w:rPr>
            </w:pPr>
            <w:r>
              <w:rPr>
                <w:rFonts w:hint="eastAsia" w:asciiTheme="majorEastAsia" w:hAnsiTheme="majorEastAsia" w:eastAsiaTheme="majorEastAsia"/>
                <w:b/>
                <w:kern w:val="0"/>
                <w:sz w:val="18"/>
                <w:szCs w:val="18"/>
              </w:rPr>
              <w:t>□ 产品管理人不设置业绩报酬计提基准。</w:t>
            </w:r>
          </w:p>
          <w:p>
            <w:pPr>
              <w:spacing w:line="360" w:lineRule="auto"/>
              <w:jc w:val="left"/>
              <w:rPr>
                <w:rFonts w:ascii="宋体" w:hAnsi="宋体"/>
                <w:b/>
                <w:bCs/>
                <w:sz w:val="18"/>
                <w:szCs w:val="18"/>
              </w:rPr>
            </w:pPr>
            <w:r>
              <w:rPr>
                <w:rFonts w:hint="eastAsia" w:ascii="宋体" w:hAnsi="宋体"/>
                <w:b/>
                <w:bCs/>
                <w:sz w:val="18"/>
                <w:szCs w:val="18"/>
              </w:rPr>
              <w:t>2</w:t>
            </w:r>
            <w:r>
              <w:rPr>
                <w:rFonts w:ascii="宋体" w:hAnsi="宋体"/>
                <w:b/>
                <w:bCs/>
                <w:sz w:val="18"/>
                <w:szCs w:val="18"/>
              </w:rPr>
              <w:t>.业绩报酬计提基准的提示</w:t>
            </w:r>
            <w:r>
              <w:rPr>
                <w:rFonts w:hint="eastAsia" w:ascii="宋体" w:hAnsi="宋体"/>
                <w:b/>
                <w:bCs/>
                <w:sz w:val="18"/>
                <w:szCs w:val="18"/>
              </w:rPr>
              <w:t>：</w:t>
            </w:r>
          </w:p>
          <w:p>
            <w:pPr>
              <w:autoSpaceDE w:val="0"/>
              <w:autoSpaceDN w:val="0"/>
              <w:adjustRightInd w:val="0"/>
              <w:spacing w:line="360" w:lineRule="auto"/>
              <w:jc w:val="left"/>
              <w:rPr>
                <w:rFonts w:ascii="宋体" w:hAnsi="宋体"/>
                <w:b/>
                <w:bCs/>
                <w:sz w:val="18"/>
                <w:szCs w:val="18"/>
              </w:rPr>
            </w:pPr>
            <w:r>
              <w:rPr>
                <w:rFonts w:hint="eastAsia" w:ascii="宋体" w:hAnsi="宋体"/>
                <w:b/>
                <w:bCs/>
                <w:sz w:val="18"/>
                <w:szCs w:val="18"/>
              </w:rPr>
              <w:t>（1）</w:t>
            </w:r>
            <w:r>
              <w:rPr>
                <w:rFonts w:hint="eastAsia"/>
                <w:sz w:val="18"/>
                <w:szCs w:val="18"/>
              </w:rPr>
              <w:t>★</w:t>
            </w:r>
            <w:r>
              <w:rPr>
                <w:rFonts w:hint="eastAsia" w:ascii="宋体" w:hAnsi="宋体"/>
                <w:b/>
                <w:bCs/>
                <w:sz w:val="18"/>
                <w:szCs w:val="18"/>
              </w:rPr>
              <w:t>业绩报酬计提基准仅作为管理人计算超额业绩报酬的参照标准。业绩报酬计提基准不是预期收益率，不代表产品的未来表现和实际收益，不构成对产品收益的承诺，投资须谨慎。</w:t>
            </w:r>
          </w:p>
          <w:p>
            <w:pPr>
              <w:spacing w:line="360" w:lineRule="auto"/>
              <w:jc w:val="left"/>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b/>
                <w:sz w:val="18"/>
                <w:szCs w:val="18"/>
              </w:rPr>
            </w:pPr>
            <w:r>
              <w:rPr>
                <w:rFonts w:hint="eastAsia" w:hAnsi="宋体"/>
                <w:b/>
                <w:sz w:val="18"/>
                <w:szCs w:val="18"/>
              </w:rPr>
              <w:t>★</w:t>
            </w:r>
            <w:r>
              <w:rPr>
                <w:rFonts w:hint="eastAsia"/>
                <w:b/>
                <w:sz w:val="18"/>
                <w:szCs w:val="18"/>
              </w:rPr>
              <w:t>理财产品利益分配</w:t>
            </w:r>
          </w:p>
        </w:tc>
        <w:tc>
          <w:tcPr>
            <w:tcW w:w="770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704" w:type="dxa"/>
            <w:shd w:val="solid" w:color="FFFFFF" w:fill="FFFFFF"/>
            <w:vAlign w:val="center"/>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（适用【/】类份额）</w:t>
            </w:r>
          </w:p>
          <w:p>
            <w:pPr>
              <w:spacing w:line="360" w:lineRule="auto"/>
              <w:rPr>
                <w:rFonts w:ascii="宋体" w:hAnsi="宋体"/>
                <w:b/>
                <w:bCs/>
                <w:color w:val="000000" w:themeColor="text1"/>
                <w:sz w:val="18"/>
                <w:szCs w:val="18"/>
                <w14:textFill>
                  <w14:solidFill>
                    <w14:schemeClr w14:val="tx1"/>
                  </w14:solidFill>
                </w14:textFill>
              </w:rPr>
            </w:pPr>
            <w:r>
              <w:rPr>
                <w:rFonts w:ascii="宋体" w:hAnsi="宋体"/>
                <w:b/>
                <w:bCs/>
                <w:color w:val="000000" w:themeColor="text1"/>
                <w:sz w:val="18"/>
                <w:szCs w:val="18"/>
                <w14:textFill>
                  <w14:solidFill>
                    <w14:schemeClr w14:val="tx1"/>
                  </w14:solidFill>
                </w14:textFill>
              </w:rPr>
              <w:t>1.理财产品的费率标准</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（1）认购费：</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（2）</w:t>
            </w:r>
            <w:r>
              <w:rPr>
                <w:rFonts w:ascii="宋体" w:hAnsi="宋体"/>
                <w:b/>
                <w:bCs/>
                <w:color w:val="000000" w:themeColor="text1"/>
                <w:sz w:val="18"/>
                <w:szCs w:val="18"/>
                <w14:textFill>
                  <w14:solidFill>
                    <w14:schemeClr w14:val="tx1"/>
                  </w14:solidFill>
                </w14:textFill>
              </w:rPr>
              <w:t>申购费：</w:t>
            </w:r>
            <w:r>
              <w:rPr>
                <w:rFonts w:hint="eastAsia" w:ascii="宋体" w:hAnsi="宋体"/>
                <w:bCs/>
                <w:color w:val="000000" w:themeColor="text1"/>
                <w:sz w:val="18"/>
                <w:szCs w:val="18"/>
                <w14:textFill>
                  <w14:solidFill>
                    <w14:schemeClr w14:val="tx1"/>
                  </w14:solidFill>
                </w14:textFill>
              </w:rPr>
              <w:t>【/】</w:t>
            </w:r>
            <w:r>
              <w:rPr>
                <w:rFonts w:ascii="宋体" w:hAnsi="宋体"/>
                <w:bCs/>
                <w:color w:val="000000" w:themeColor="text1"/>
                <w:sz w:val="18"/>
                <w:szCs w:val="18"/>
                <w14:textFill>
                  <w14:solidFill>
                    <w14:schemeClr w14:val="tx1"/>
                  </w14:solidFill>
                </w14:textFill>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（3）赎回费：</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
                <w:bCs/>
                <w:color w:val="000000" w:themeColor="text1"/>
                <w:sz w:val="18"/>
                <w:szCs w:val="18"/>
                <w14:textFill>
                  <w14:solidFill>
                    <w14:schemeClr w14:val="tx1"/>
                  </w14:solidFill>
                </w14:textFill>
              </w:rPr>
            </w:pPr>
            <w:r>
              <w:rPr>
                <w:rFonts w:hint="eastAsia" w:asciiTheme="majorEastAsia" w:hAnsiTheme="majorEastAsia" w:eastAsiaTheme="majorEastAsia"/>
                <w:b/>
                <w:bCs/>
                <w:color w:val="000000" w:themeColor="text1"/>
                <w:sz w:val="18"/>
                <w:szCs w:val="18"/>
                <w14:textFill>
                  <w14:solidFill>
                    <w14:schemeClr w14:val="tx1"/>
                  </w14:solidFill>
                </w14:textFill>
              </w:rPr>
              <w:t>（4）</w:t>
            </w:r>
            <w:r>
              <w:rPr>
                <w:rFonts w:asciiTheme="majorEastAsia" w:hAnsiTheme="majorEastAsia" w:eastAsiaTheme="majorEastAsia"/>
                <w:b/>
                <w:bCs/>
                <w:color w:val="000000" w:themeColor="text1"/>
                <w:sz w:val="18"/>
                <w:szCs w:val="18"/>
                <w14:textFill>
                  <w14:solidFill>
                    <w14:schemeClr w14:val="tx1"/>
                  </w14:solidFill>
                </w14:textFill>
              </w:rPr>
              <w:t>销售服</w:t>
            </w:r>
            <w:r>
              <w:rPr>
                <w:rFonts w:hint="eastAsia" w:ascii="宋体" w:hAnsi="宋体"/>
                <w:b/>
                <w:bCs/>
                <w:color w:val="000000" w:themeColor="text1"/>
                <w:sz w:val="18"/>
                <w:szCs w:val="18"/>
                <w14:textFill>
                  <w14:solidFill>
                    <w14:schemeClr w14:val="tx1"/>
                  </w14:solidFill>
                </w14:textFill>
              </w:rPr>
              <w:t>务费：</w:t>
            </w:r>
          </w:p>
          <w:p>
            <w:pPr>
              <w:spacing w:line="360" w:lineRule="auto"/>
              <w:rPr>
                <w:rFonts w:asciiTheme="majorEastAsia" w:hAnsiTheme="majorEastAsia" w:eastAsiaTheme="majorEastAsia"/>
                <w:sz w:val="18"/>
                <w:szCs w:val="18"/>
              </w:rPr>
            </w:pPr>
            <w:r>
              <w:rPr>
                <w:rFonts w:asciiTheme="majorEastAsia" w:hAnsiTheme="majorEastAsia"/>
                <w:sz w:val="18"/>
              </w:rPr>
              <w:t>A</w:t>
            </w:r>
            <w:r>
              <w:rPr>
                <w:rFonts w:hint="eastAsia" w:asciiTheme="majorEastAsia" w:hAnsiTheme="majorEastAsia"/>
                <w:sz w:val="18"/>
              </w:rPr>
              <w:t>类份额：</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w:t>
            </w:r>
            <w:r>
              <w:rPr>
                <w:rFonts w:asciiTheme="majorEastAsia" w:hAnsiTheme="majorEastAsia" w:eastAsiaTheme="majorEastAsia"/>
                <w:sz w:val="18"/>
                <w:szCs w:val="18"/>
              </w:rPr>
              <w:t>4</w:t>
            </w:r>
            <w:r>
              <w:rPr>
                <w:rFonts w:hint="eastAsia" w:asciiTheme="majorEastAsia" w:hAnsiTheme="majorEastAsia" w:eastAsiaTheme="majorEastAsia"/>
                <w:sz w:val="18"/>
                <w:szCs w:val="18"/>
              </w:rPr>
              <w:t>0%】</w:t>
            </w:r>
            <w:r>
              <w:rPr>
                <w:rFonts w:asciiTheme="majorEastAsia" w:hAnsiTheme="majorEastAsia" w:eastAsiaTheme="majorEastAsia"/>
                <w:sz w:val="18"/>
                <w:szCs w:val="18"/>
              </w:rPr>
              <w:t>；</w:t>
            </w:r>
          </w:p>
          <w:p>
            <w:pPr>
              <w:spacing w:line="360" w:lineRule="auto"/>
              <w:rPr>
                <w:rFonts w:ascii="宋体" w:hAnsi="宋体"/>
                <w:bCs/>
                <w:color w:val="000000" w:themeColor="text1"/>
                <w:sz w:val="18"/>
                <w:szCs w:val="18"/>
                <w14:textFill>
                  <w14:solidFill>
                    <w14:schemeClr w14:val="tx1"/>
                  </w14:solidFill>
                </w14:textFill>
              </w:rPr>
            </w:pPr>
            <w:r>
              <w:rPr>
                <w:rFonts w:asciiTheme="majorEastAsia" w:hAnsiTheme="majorEastAsia"/>
                <w:sz w:val="18"/>
              </w:rPr>
              <w:t>B</w:t>
            </w:r>
            <w:r>
              <w:rPr>
                <w:rFonts w:hint="eastAsia" w:asciiTheme="majorEastAsia" w:hAnsiTheme="majorEastAsia"/>
                <w:sz w:val="18"/>
              </w:rPr>
              <w:t>类份额：</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w:t>
            </w:r>
            <w:r>
              <w:rPr>
                <w:rFonts w:asciiTheme="majorEastAsia" w:hAnsiTheme="majorEastAsia" w:eastAsiaTheme="majorEastAsia"/>
                <w:sz w:val="18"/>
                <w:szCs w:val="18"/>
              </w:rPr>
              <w:t>3</w:t>
            </w:r>
            <w:r>
              <w:rPr>
                <w:rFonts w:hint="eastAsia" w:asciiTheme="majorEastAsia" w:hAnsiTheme="majorEastAsia" w:eastAsiaTheme="majorEastAsia"/>
                <w:sz w:val="18"/>
                <w:szCs w:val="18"/>
              </w:rPr>
              <w:t>0%】</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Cs/>
                <w:color w:val="000000" w:themeColor="text1"/>
                <w:sz w:val="18"/>
                <w:szCs w:val="18"/>
                <w14:textFill>
                  <w14:solidFill>
                    <w14:schemeClr w14:val="tx1"/>
                  </w14:solidFill>
                </w14:textFill>
              </w:rPr>
            </w:pPr>
            <w:r>
              <w:rPr>
                <w:rFonts w:asciiTheme="majorEastAsia" w:hAnsiTheme="majorEastAsia"/>
                <w:sz w:val="18"/>
              </w:rPr>
              <w:t>C</w:t>
            </w:r>
            <w:r>
              <w:rPr>
                <w:rFonts w:hint="eastAsia" w:asciiTheme="majorEastAsia" w:hAnsiTheme="majorEastAsia"/>
                <w:sz w:val="18"/>
              </w:rPr>
              <w:t>类份额：</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w:t>
            </w:r>
            <w:r>
              <w:rPr>
                <w:rFonts w:asciiTheme="majorEastAsia" w:hAnsiTheme="majorEastAsia" w:eastAsiaTheme="majorEastAsia"/>
                <w:sz w:val="18"/>
                <w:szCs w:val="18"/>
              </w:rPr>
              <w:t>35</w:t>
            </w:r>
            <w:r>
              <w:rPr>
                <w:rFonts w:hint="eastAsia"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（5）投资管理费：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w:t>
            </w:r>
            <w:r>
              <w:rPr>
                <w:rFonts w:asciiTheme="majorEastAsia" w:hAnsiTheme="majorEastAsia" w:eastAsiaTheme="majorEastAsia"/>
                <w:sz w:val="18"/>
                <w:szCs w:val="18"/>
              </w:rPr>
              <w:t>20%】</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（6）产品托管费：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【0.03%</w:t>
            </w:r>
            <w:r>
              <w:rPr>
                <w:rFonts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widowControl/>
              <w:spacing w:line="360" w:lineRule="auto"/>
              <w:jc w:val="left"/>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（7）超额业绩报酬：</w:t>
            </w:r>
          </w:p>
          <w:p>
            <w:pPr>
              <w:widowControl/>
              <w:spacing w:line="360" w:lineRule="auto"/>
              <w:jc w:val="left"/>
              <w:rPr>
                <w:rFonts w:ascii="宋体" w:hAnsi="宋体"/>
                <w:sz w:val="18"/>
                <w:szCs w:val="18"/>
              </w:rPr>
            </w:pPr>
            <w:r>
              <w:rPr>
                <w:rFonts w:hint="eastAsia" w:ascii="宋体" w:hAnsi="宋体"/>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30%】作为超额业绩报酬。</w:t>
            </w:r>
          </w:p>
          <w:p>
            <w:pPr>
              <w:spacing w:line="360" w:lineRule="auto"/>
              <w:rPr>
                <w:rFonts w:ascii="黑体" w:hAnsi="黑体" w:eastAsia="黑体"/>
                <w:bCs/>
                <w:sz w:val="18"/>
                <w:szCs w:val="18"/>
              </w:rPr>
            </w:pPr>
            <w:r>
              <w:rPr>
                <w:rFonts w:ascii="宋体" w:hAnsi="宋体"/>
                <w:bCs/>
                <w:sz w:val="18"/>
                <w:szCs w:val="18"/>
              </w:rPr>
              <w:t>2</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70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tbl>
    <w:p>
      <w:pPr>
        <w:pStyle w:val="18"/>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72" w:name="_Toc79154666"/>
      <w:bookmarkStart w:id="73" w:name="_Toc92377132"/>
      <w:bookmarkStart w:id="74" w:name="_Toc116984886"/>
      <w:r>
        <w:rPr>
          <w:rFonts w:ascii="Times New Roman"/>
          <w:sz w:val="30"/>
        </w:rPr>
        <w:t>第</w:t>
      </w:r>
      <w:r>
        <w:rPr>
          <w:rFonts w:hint="eastAsia" w:ascii="Times New Roman"/>
          <w:sz w:val="30"/>
        </w:rPr>
        <w:t>三条</w:t>
      </w:r>
      <w:r>
        <w:rPr>
          <w:rFonts w:ascii="Times New Roman"/>
          <w:sz w:val="30"/>
        </w:rPr>
        <w:t xml:space="preserve">  </w:t>
      </w:r>
      <w:bookmarkStart w:id="75" w:name="_Toc79392573"/>
      <w:r>
        <w:rPr>
          <w:rFonts w:hint="eastAsia" w:ascii="Times New Roman"/>
          <w:sz w:val="30"/>
        </w:rPr>
        <w:t>理财产品的认购</w:t>
      </w:r>
      <w:bookmarkEnd w:id="72"/>
      <w:bookmarkEnd w:id="73"/>
      <w:bookmarkEnd w:id="74"/>
    </w:p>
    <w:p>
      <w:pPr>
        <w:spacing w:line="360" w:lineRule="auto"/>
        <w:ind w:firstLine="361" w:firstLineChars="200"/>
        <w:rPr>
          <w:rFonts w:asciiTheme="minorEastAsia" w:hAnsiTheme="minorEastAsia"/>
          <w:b/>
          <w:bCs/>
          <w:sz w:val="18"/>
          <w:szCs w:val="18"/>
        </w:rPr>
      </w:pPr>
      <w:bookmarkStart w:id="76" w:name="_Hlt88031774"/>
      <w:bookmarkEnd w:id="76"/>
      <w:bookmarkStart w:id="77"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18"/>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18"/>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18"/>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18"/>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18"/>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10"/>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w:t>
            </w:r>
            <w:r>
              <w:rPr>
                <w:rFonts w:hint="eastAsia" w:cs="Times New Roman" w:asciiTheme="minorEastAsia" w:hAnsiTheme="minorEastAsia" w:eastAsiaTheme="minorEastAsia"/>
                <w:bCs/>
                <w:sz w:val="18"/>
                <w:szCs w:val="18"/>
              </w:rPr>
              <w:t>，并登记理财份额</w:t>
            </w:r>
            <w:r>
              <w:rPr>
                <w:rFonts w:hint="eastAsia" w:cs="Times New Roman" w:asciiTheme="minorEastAsia" w:hAnsiTheme="minorEastAsia"/>
                <w:bCs/>
                <w:kern w:val="0"/>
                <w:sz w:val="18"/>
                <w:szCs w:val="18"/>
              </w:rPr>
              <w:t>。</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pStyle w:val="18"/>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认购期/募集期内投资者可提交认购申请。</w:t>
      </w:r>
      <w:r>
        <w:rPr>
          <w:rFonts w:hint="eastAsia" w:asciiTheme="majorEastAsia" w:hAnsiTheme="majorEastAsia" w:eastAsiaTheme="majorEastAsia"/>
          <w:sz w:val="18"/>
          <w:szCs w:val="18"/>
        </w:rPr>
        <w:t>提交</w:t>
      </w:r>
      <w:r>
        <w:rPr>
          <w:rFonts w:asciiTheme="majorEastAsia" w:hAnsiTheme="majorEastAsia" w:eastAsiaTheme="majorEastAsia"/>
          <w:sz w:val="18"/>
          <w:szCs w:val="18"/>
        </w:rPr>
        <w:t>认购</w:t>
      </w:r>
      <w:r>
        <w:rPr>
          <w:rFonts w:hint="eastAsia" w:asciiTheme="majorEastAsia" w:hAnsiTheme="majorEastAsia" w:eastAsiaTheme="majorEastAsia"/>
          <w:sz w:val="18"/>
          <w:szCs w:val="18"/>
        </w:rPr>
        <w:t>申请并不代表认购成功，产品管理人将在认购确认日确认投资者是否认购成功。</w:t>
      </w:r>
      <w:r>
        <w:rPr>
          <w:rFonts w:hint="eastAsia" w:asciiTheme="minorEastAsia" w:hAnsiTheme="minorEastAsia" w:eastAsiaTheme="minorEastAsia"/>
          <w:sz w:val="18"/>
          <w:szCs w:val="18"/>
        </w:rPr>
        <w:t>认购</w:t>
      </w:r>
      <w:r>
        <w:rPr>
          <w:rFonts w:hint="eastAsia" w:asciiTheme="majorEastAsia" w:hAnsiTheme="majorEastAsia" w:eastAsiaTheme="majorEastAsia"/>
          <w:sz w:val="18"/>
          <w:szCs w:val="18"/>
        </w:rPr>
        <w:t>是否成功以管理人的确认结果为准</w:t>
      </w:r>
      <w:r>
        <w:rPr>
          <w:rFonts w:hint="eastAsia" w:asciiTheme="minorEastAsia" w:hAnsiTheme="minorEastAsia" w:eastAsiaTheme="minorEastAsia"/>
          <w:sz w:val="18"/>
          <w:szCs w:val="18"/>
        </w:rPr>
        <w:t>。</w:t>
      </w:r>
      <w:r>
        <w:rPr>
          <w:rFonts w:hint="eastAsia" w:asciiTheme="minorEastAsia" w:hAnsiTheme="minorEastAsia" w:eastAsiaTheme="minorEastAsia"/>
          <w:bCs/>
          <w:sz w:val="18"/>
          <w:szCs w:val="18"/>
        </w:rPr>
        <w:t>投资者可以在认购确认日系统完成处理后，查询产品份额。</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18"/>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18"/>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p>
    <w:p>
      <w:pPr>
        <w:pStyle w:val="18"/>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18"/>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18"/>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18"/>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18"/>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18"/>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18"/>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18"/>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18"/>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18"/>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18"/>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18"/>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18"/>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18"/>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18"/>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18"/>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18"/>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18"/>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18"/>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18"/>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18"/>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18"/>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pPr>
        <w:pStyle w:val="2"/>
        <w:spacing w:before="0" w:after="0" w:line="360" w:lineRule="auto"/>
        <w:jc w:val="center"/>
        <w:rPr>
          <w:rFonts w:ascii="Times New Roman"/>
          <w:sz w:val="30"/>
        </w:rPr>
      </w:pPr>
      <w:bookmarkStart w:id="78" w:name="_Toc79154667"/>
      <w:bookmarkStart w:id="79" w:name="_Toc116984887"/>
      <w:bookmarkStart w:id="80" w:name="_Toc92377133"/>
      <w:r>
        <w:rPr>
          <w:rFonts w:hint="eastAsia" w:ascii="Times New Roman"/>
          <w:sz w:val="30"/>
        </w:rPr>
        <w:t xml:space="preserve">第四条 </w:t>
      </w:r>
      <w:r>
        <w:rPr>
          <w:rFonts w:ascii="Times New Roman"/>
          <w:sz w:val="30"/>
        </w:rPr>
        <w:t xml:space="preserve"> </w:t>
      </w:r>
      <w:r>
        <w:rPr>
          <w:rFonts w:hint="eastAsia" w:ascii="Times New Roman"/>
          <w:sz w:val="30"/>
        </w:rPr>
        <w:t>理财产品的申购与赎回</w:t>
      </w:r>
      <w:bookmarkEnd w:id="78"/>
      <w:bookmarkEnd w:id="79"/>
      <w:bookmarkEnd w:id="80"/>
    </w:p>
    <w:bookmarkEnd w:id="77"/>
    <w:p>
      <w:pPr>
        <w:pStyle w:val="18"/>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（一）理财产品的申购</w:t>
      </w:r>
    </w:p>
    <w:p>
      <w:pPr>
        <w:pStyle w:val="18"/>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申购的时间</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本产品设置预约申购期，具体的预约申购期时间以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Ansi="宋体"/>
          <w:bCs/>
          <w:color w:val="auto"/>
          <w:sz w:val="18"/>
          <w:szCs w:val="18"/>
        </w:rPr>
        <w:t>投资者</w:t>
      </w:r>
      <w:r>
        <w:rPr>
          <w:rFonts w:hint="eastAsia" w:hAnsi="宋体"/>
          <w:bCs/>
          <w:color w:val="auto"/>
          <w:sz w:val="18"/>
          <w:szCs w:val="18"/>
        </w:rPr>
        <w:t>可在</w:t>
      </w:r>
      <w:r>
        <w:rPr>
          <w:rFonts w:hint="eastAsia" w:asciiTheme="majorEastAsia" w:hAnsiTheme="majorEastAsia" w:eastAsiaTheme="majorEastAsia"/>
          <w:bCs/>
          <w:color w:val="auto"/>
          <w:sz w:val="18"/>
          <w:szCs w:val="18"/>
        </w:rPr>
        <w:t>本产品预约申购期内提出预约申购申请。</w:t>
      </w:r>
    </w:p>
    <w:p>
      <w:pPr>
        <w:pStyle w:val="18"/>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2.申购的方式</w:t>
      </w:r>
    </w:p>
    <w:p>
      <w:pPr>
        <w:pStyle w:val="18"/>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投资者可通过</w:t>
      </w:r>
      <w:r>
        <w:rPr>
          <w:rFonts w:hint="eastAsia" w:asciiTheme="minorEastAsia" w:hAnsiTheme="minorEastAsia"/>
          <w:bCs/>
          <w:color w:val="auto"/>
          <w:sz w:val="18"/>
          <w:szCs w:val="18"/>
        </w:rPr>
        <w:t>销售机构的销售</w:t>
      </w:r>
      <w:r>
        <w:rPr>
          <w:rFonts w:asciiTheme="minorEastAsia" w:hAnsiTheme="minorEastAsia"/>
          <w:bCs/>
          <w:color w:val="auto"/>
          <w:sz w:val="18"/>
          <w:szCs w:val="18"/>
        </w:rPr>
        <w:t>渠道</w:t>
      </w:r>
      <w:r>
        <w:rPr>
          <w:rFonts w:hint="eastAsia" w:asciiTheme="minorEastAsia" w:hAnsiTheme="minorEastAsia"/>
          <w:bCs/>
          <w:color w:val="auto"/>
          <w:sz w:val="18"/>
          <w:szCs w:val="18"/>
        </w:rPr>
        <w:t>申购。不同销售机构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渠道，申购确认时效可能存在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18"/>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投资者通过</w:t>
      </w:r>
      <w:r>
        <w:rPr>
          <w:rFonts w:hint="eastAsia" w:asciiTheme="minorEastAsia" w:hAnsiTheme="minorEastAsia"/>
          <w:bCs/>
          <w:color w:val="auto"/>
          <w:sz w:val="18"/>
          <w:szCs w:val="18"/>
        </w:rPr>
        <w:t>销售机构线下</w:t>
      </w:r>
      <w:r>
        <w:rPr>
          <w:rFonts w:asciiTheme="minorEastAsia" w:hAnsiTheme="minorEastAsia"/>
          <w:bCs/>
          <w:color w:val="auto"/>
          <w:sz w:val="18"/>
          <w:szCs w:val="18"/>
        </w:rPr>
        <w:t>渠道申购</w:t>
      </w:r>
      <w:r>
        <w:rPr>
          <w:rFonts w:hint="eastAsia" w:asciiTheme="minorEastAsia" w:hAnsiTheme="minorEastAsia"/>
          <w:bCs/>
          <w:color w:val="auto"/>
          <w:sz w:val="18"/>
          <w:szCs w:val="18"/>
        </w:rPr>
        <w:t>的，应签署有关理财产品销售文件。</w:t>
      </w:r>
    </w:p>
    <w:p>
      <w:pPr>
        <w:pStyle w:val="18"/>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投资者通过销售机构线上渠道申购的，应根据销售机构线上渠道的具体要求执行。</w:t>
      </w:r>
    </w:p>
    <w:p>
      <w:pPr>
        <w:pStyle w:val="18"/>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申购的确认</w:t>
      </w:r>
    </w:p>
    <w:p>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pPr>
        <w:pStyle w:val="18"/>
        <w:spacing w:line="360" w:lineRule="auto"/>
        <w:ind w:firstLine="360" w:firstLineChars="200"/>
        <w:rPr>
          <w:rFonts w:asciiTheme="majorEastAsia" w:hAnsiTheme="majorEastAsia" w:eastAsiaTheme="majorEastAsia"/>
          <w:bCs/>
          <w:sz w:val="18"/>
          <w:szCs w:val="18"/>
        </w:rPr>
      </w:pPr>
      <w:r>
        <w:rPr>
          <w:rFonts w:hint="eastAsia" w:asciiTheme="minorEastAsia" w:hAnsiTheme="minorEastAsia"/>
          <w:bCs/>
          <w:color w:val="auto"/>
          <w:sz w:val="18"/>
          <w:szCs w:val="18"/>
        </w:rPr>
        <w:t>预约申购期内投资者可提交预约申购申请</w:t>
      </w:r>
      <w:r>
        <w:rPr>
          <w:rFonts w:hint="eastAsia" w:cs="Times New Roman" w:asciiTheme="minorEastAsia" w:hAnsiTheme="minorEastAsia" w:eastAsiaTheme="minorEastAsia"/>
          <w:color w:val="auto"/>
          <w:sz w:val="18"/>
          <w:szCs w:val="18"/>
        </w:rPr>
        <w:t>。</w:t>
      </w:r>
      <w:r>
        <w:rPr>
          <w:rFonts w:hint="eastAsia" w:asciiTheme="majorEastAsia" w:hAnsiTheme="majorEastAsia" w:eastAsiaTheme="majorEastAsia"/>
          <w:color w:val="auto"/>
          <w:sz w:val="18"/>
          <w:szCs w:val="18"/>
        </w:rPr>
        <w:t>提交预约申购申请并不代表申购成功，产品管理人将在申购确认日确认投资者是否申购成功。申购是否成功以管理人的确认结果为准</w:t>
      </w:r>
      <w:r>
        <w:rPr>
          <w:rFonts w:hint="eastAsia" w:asciiTheme="minorEastAsia" w:hAnsiTheme="minorEastAsia" w:eastAsiaTheme="minorEastAsia"/>
          <w:color w:val="auto"/>
          <w:sz w:val="18"/>
          <w:szCs w:val="18"/>
        </w:rPr>
        <w:t>。</w:t>
      </w:r>
      <w:r>
        <w:rPr>
          <w:rFonts w:hint="eastAsia" w:asciiTheme="minorEastAsia" w:hAnsiTheme="minorEastAsia" w:eastAsiaTheme="minorEastAsia"/>
          <w:bCs/>
          <w:color w:val="auto"/>
          <w:sz w:val="18"/>
          <w:szCs w:val="18"/>
        </w:rPr>
        <w:t>投资者可以在申购确认日系统完成处理后，查询产品份额。</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.申购</w:t>
      </w:r>
      <w:r>
        <w:rPr>
          <w:rFonts w:asciiTheme="minorEastAsia" w:hAnsiTheme="minorEastAsia"/>
          <w:b/>
          <w:bCs/>
          <w:sz w:val="18"/>
          <w:szCs w:val="18"/>
        </w:rPr>
        <w:t>的价格</w:t>
      </w:r>
    </w:p>
    <w:p>
      <w:pPr>
        <w:pStyle w:val="18"/>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申购价格为申购日的产品份额净值。</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申购的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pStyle w:val="18"/>
        <w:spacing w:line="360" w:lineRule="auto"/>
        <w:ind w:firstLine="361" w:firstLineChars="200"/>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sz w:val="18"/>
          <w:szCs w:val="18"/>
        </w:rPr>
        <w:t>申购份额计算</w:t>
      </w:r>
    </w:p>
    <w:p>
      <w:pPr>
        <w:pStyle w:val="18"/>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本产品的申购金额包括申购费用和净申购金额。申购份额的计算公式为：</w:t>
      </w:r>
    </w:p>
    <w:p>
      <w:pPr>
        <w:pStyle w:val="18"/>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净申购金额=申购金额/（1+申购费率）</w:t>
      </w:r>
    </w:p>
    <w:p>
      <w:pPr>
        <w:pStyle w:val="18"/>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申购费用=申购金额－净申购金额</w:t>
      </w:r>
    </w:p>
    <w:p>
      <w:pPr>
        <w:pStyle w:val="18"/>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申购份额=净申购金额/申购日产品份额净值</w:t>
      </w:r>
    </w:p>
    <w:p>
      <w:pPr>
        <w:pStyle w:val="18"/>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上述计算结果均按四舍五入方法，保留到小数点后2位，由此产生的收益或损失由理财产品承担。</w:t>
      </w:r>
    </w:p>
    <w:p>
      <w:pPr>
        <w:pStyle w:val="18"/>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申购的起点和递增金额</w:t>
      </w:r>
    </w:p>
    <w:p>
      <w:pPr>
        <w:pStyle w:val="18"/>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18"/>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w:t>
      </w:r>
      <w:r>
        <w:rPr>
          <w:rFonts w:hint="eastAsia" w:asciiTheme="minorEastAsia" w:hAnsiTheme="minorEastAsia" w:eastAsiaTheme="minorEastAsia"/>
          <w:b/>
          <w:color w:val="auto"/>
          <w:sz w:val="18"/>
          <w:szCs w:val="18"/>
        </w:rPr>
        <w:t>申购</w:t>
      </w:r>
      <w:r>
        <w:rPr>
          <w:rFonts w:asciiTheme="minorEastAsia" w:hAnsiTheme="minorEastAsia" w:eastAsiaTheme="minorEastAsia"/>
          <w:b/>
          <w:color w:val="auto"/>
          <w:sz w:val="18"/>
          <w:szCs w:val="18"/>
        </w:rPr>
        <w:t>的数量限制</w:t>
      </w:r>
    </w:p>
    <w:p>
      <w:pPr>
        <w:pStyle w:val="18"/>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18"/>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（二）理财产品的赎回</w:t>
      </w:r>
    </w:p>
    <w:p>
      <w:pPr>
        <w:pStyle w:val="18"/>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赎回的时间</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本产品设置预约赎回期，具体的预约赎回期时间以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Ansi="宋体"/>
          <w:bCs/>
          <w:color w:val="auto"/>
          <w:sz w:val="18"/>
          <w:szCs w:val="18"/>
        </w:rPr>
        <w:t>投资者</w:t>
      </w:r>
      <w:r>
        <w:rPr>
          <w:rFonts w:hint="eastAsia" w:hAnsi="宋体"/>
          <w:bCs/>
          <w:color w:val="auto"/>
          <w:sz w:val="18"/>
          <w:szCs w:val="18"/>
        </w:rPr>
        <w:t>可在</w:t>
      </w:r>
      <w:r>
        <w:rPr>
          <w:rFonts w:hint="eastAsia" w:asciiTheme="majorEastAsia" w:hAnsiTheme="majorEastAsia" w:eastAsiaTheme="majorEastAsia"/>
          <w:bCs/>
          <w:color w:val="auto"/>
          <w:sz w:val="18"/>
          <w:szCs w:val="18"/>
        </w:rPr>
        <w:t>本产品预约赎回期内提出预约赎回申请。</w:t>
      </w:r>
    </w:p>
    <w:p>
      <w:pPr>
        <w:pStyle w:val="18"/>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2.赎回的方式</w:t>
      </w:r>
    </w:p>
    <w:p>
      <w:pPr>
        <w:pStyle w:val="18"/>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投资者可通过</w:t>
      </w:r>
      <w:r>
        <w:rPr>
          <w:rFonts w:hint="eastAsia" w:asciiTheme="majorEastAsia" w:hAnsiTheme="majorEastAsia" w:eastAsiaTheme="majorEastAsia"/>
          <w:color w:val="auto"/>
          <w:sz w:val="18"/>
          <w:szCs w:val="18"/>
        </w:rPr>
        <w:t>销售机构的销售</w:t>
      </w:r>
      <w:r>
        <w:rPr>
          <w:rFonts w:asciiTheme="majorEastAsia" w:hAnsiTheme="majorEastAsia" w:eastAsiaTheme="majorEastAsia"/>
          <w:color w:val="auto"/>
          <w:sz w:val="18"/>
          <w:szCs w:val="18"/>
        </w:rPr>
        <w:t>渠道</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w:t>
      </w:r>
      <w:r>
        <w:rPr>
          <w:rFonts w:hint="eastAsia" w:asciiTheme="minorEastAsia" w:hAnsiTheme="minorEastAsia"/>
          <w:bCs/>
          <w:color w:val="auto"/>
          <w:sz w:val="18"/>
          <w:szCs w:val="18"/>
        </w:rPr>
        <w:t>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渠道，赎回确认时效可能存在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18"/>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w:t>
      </w:r>
      <w:r>
        <w:rPr>
          <w:rFonts w:asciiTheme="minorEastAsia" w:hAnsiTheme="minorEastAsia" w:eastAsiaTheme="minorEastAsia"/>
          <w:color w:val="auto"/>
          <w:sz w:val="18"/>
          <w:szCs w:val="18"/>
        </w:rPr>
        <w:t>渠道赎回的</w:t>
      </w:r>
      <w:r>
        <w:rPr>
          <w:rFonts w:hint="eastAsia" w:asciiTheme="majorEastAsia" w:hAnsiTheme="majorEastAsia" w:eastAsiaTheme="majorEastAsia"/>
          <w:color w:val="auto"/>
          <w:sz w:val="18"/>
          <w:szCs w:val="18"/>
        </w:rPr>
        <w:t>，应签署</w:t>
      </w:r>
      <w:r>
        <w:rPr>
          <w:rFonts w:hint="eastAsia" w:asciiTheme="minorEastAsia" w:hAnsiTheme="minorEastAsia"/>
          <w:bCs/>
          <w:color w:val="auto"/>
          <w:sz w:val="18"/>
          <w:szCs w:val="18"/>
        </w:rPr>
        <w:t>有关理财产品销售文件</w:t>
      </w:r>
      <w:r>
        <w:rPr>
          <w:rFonts w:hint="eastAsia" w:asciiTheme="majorEastAsia" w:hAnsiTheme="majorEastAsia" w:eastAsiaTheme="majorEastAsia"/>
          <w:color w:val="auto"/>
          <w:sz w:val="18"/>
          <w:szCs w:val="18"/>
        </w:rPr>
        <w:t>。</w:t>
      </w:r>
    </w:p>
    <w:p>
      <w:pPr>
        <w:pStyle w:val="18"/>
        <w:spacing w:line="360" w:lineRule="auto"/>
        <w:ind w:firstLine="360" w:firstLineChars="200"/>
        <w:rPr>
          <w:rFonts w:asciiTheme="minorEastAsia" w:hAnsiTheme="minorEastAsia"/>
          <w:bCs/>
          <w:color w:val="auto"/>
          <w:sz w:val="18"/>
          <w:szCs w:val="18"/>
        </w:rPr>
      </w:pPr>
      <w:r>
        <w:rPr>
          <w:rFonts w:hint="eastAsia" w:asciiTheme="majorEastAsia" w:hAnsiTheme="majorEastAsia" w:eastAsiaTheme="majorEastAsia"/>
          <w:color w:val="auto"/>
          <w:sz w:val="18"/>
          <w:szCs w:val="18"/>
        </w:rPr>
        <w:t>投资者通过销售机构线上渠道</w:t>
      </w:r>
      <w:r>
        <w:rPr>
          <w:rFonts w:hint="eastAsia" w:asciiTheme="minorEastAsia" w:hAnsiTheme="minorEastAsia" w:eastAsiaTheme="minorEastAsia"/>
          <w:color w:val="auto"/>
          <w:sz w:val="18"/>
          <w:szCs w:val="18"/>
        </w:rPr>
        <w:t>赎回的，</w:t>
      </w:r>
      <w:r>
        <w:rPr>
          <w:rFonts w:hint="eastAsia" w:asciiTheme="minorEastAsia" w:hAnsiTheme="minorEastAsia"/>
          <w:bCs/>
          <w:color w:val="auto"/>
          <w:sz w:val="18"/>
          <w:szCs w:val="18"/>
        </w:rPr>
        <w:t>应根据销售机构线上渠道的具体要求执行。</w:t>
      </w:r>
    </w:p>
    <w:p>
      <w:pPr>
        <w:pStyle w:val="18"/>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赎回的确认</w:t>
      </w:r>
    </w:p>
    <w:p>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pPr>
        <w:spacing w:line="360" w:lineRule="auto"/>
        <w:ind w:firstLine="360" w:firstLineChars="200"/>
        <w:rPr>
          <w:rFonts w:asciiTheme="minorEastAsia" w:hAnsiTheme="minorEastAsia" w:eastAsiaTheme="minorEastAsia"/>
          <w:sz w:val="18"/>
          <w:szCs w:val="18"/>
        </w:rPr>
      </w:pPr>
      <w:r>
        <w:rPr>
          <w:rFonts w:hint="eastAsia" w:asciiTheme="minorEastAsia" w:hAnsiTheme="minorEastAsia"/>
          <w:bCs/>
          <w:sz w:val="18"/>
          <w:szCs w:val="18"/>
        </w:rPr>
        <w:t>预约赎回期内投资者可提交预约赎回申请</w:t>
      </w:r>
      <w:r>
        <w:rPr>
          <w:rFonts w:hint="eastAsia" w:cs="Times New Roman" w:asciiTheme="minorEastAsia" w:hAnsiTheme="minorEastAsia" w:eastAsiaTheme="minorEastAsia"/>
          <w:sz w:val="18"/>
          <w:szCs w:val="18"/>
        </w:rPr>
        <w:t>。</w:t>
      </w:r>
      <w:r>
        <w:rPr>
          <w:rFonts w:hint="eastAsia" w:asciiTheme="majorEastAsia" w:hAnsiTheme="majorEastAsia" w:eastAsiaTheme="majorEastAsia"/>
          <w:sz w:val="18"/>
          <w:szCs w:val="18"/>
        </w:rPr>
        <w:t>提交预约赎回申请并不代表赎回成功，产品管理人将在赎回确认日确认投资者是否赎回成功。赎回是否成功以管理人的确认结果为准</w:t>
      </w:r>
      <w:r>
        <w:rPr>
          <w:rFonts w:hint="eastAsia" w:asciiTheme="minorEastAsia" w:hAnsiTheme="minorEastAsia" w:eastAsiaTheme="minorEastAsia"/>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.赎回</w:t>
      </w:r>
      <w:r>
        <w:rPr>
          <w:rFonts w:asciiTheme="minorEastAsia" w:hAnsiTheme="minorEastAsia"/>
          <w:b/>
          <w:bCs/>
          <w:sz w:val="18"/>
          <w:szCs w:val="18"/>
        </w:rPr>
        <w:t>的价格</w:t>
      </w:r>
    </w:p>
    <w:p>
      <w:pPr>
        <w:pStyle w:val="18"/>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bCs/>
          <w:color w:val="auto"/>
          <w:sz w:val="18"/>
          <w:szCs w:val="18"/>
        </w:rPr>
        <w:t>赎回</w:t>
      </w:r>
      <w:r>
        <w:rPr>
          <w:rFonts w:asciiTheme="majorEastAsia" w:hAnsiTheme="majorEastAsia" w:eastAsiaTheme="majorEastAsia"/>
          <w:bCs/>
          <w:color w:val="auto"/>
          <w:sz w:val="18"/>
          <w:szCs w:val="18"/>
        </w:rPr>
        <w:t>价格为赎回日</w:t>
      </w:r>
      <w:r>
        <w:rPr>
          <w:rFonts w:hint="eastAsia" w:asciiTheme="majorEastAsia" w:hAnsiTheme="majorEastAsia" w:eastAsiaTheme="majorEastAsia"/>
          <w:bCs/>
          <w:color w:val="auto"/>
          <w:sz w:val="18"/>
          <w:szCs w:val="18"/>
        </w:rPr>
        <w:t>的</w:t>
      </w:r>
      <w:r>
        <w:rPr>
          <w:rFonts w:asciiTheme="majorEastAsia" w:hAnsiTheme="majorEastAsia" w:eastAsiaTheme="majorEastAsia"/>
          <w:bCs/>
          <w:color w:val="auto"/>
          <w:sz w:val="18"/>
          <w:szCs w:val="18"/>
        </w:rPr>
        <w:t>产品份额净值</w:t>
      </w:r>
      <w:r>
        <w:rPr>
          <w:rFonts w:hint="eastAsia" w:asciiTheme="majorEastAsia" w:hAnsiTheme="majorEastAsia" w:eastAsiaTheme="majorEastAsia"/>
          <w:bCs/>
          <w:color w:val="auto"/>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赎回的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pStyle w:val="18"/>
        <w:spacing w:line="360" w:lineRule="auto"/>
        <w:ind w:firstLine="361" w:firstLineChars="200"/>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color w:val="auto"/>
          <w:sz w:val="18"/>
          <w:szCs w:val="18"/>
        </w:rPr>
        <w:t>赎回</w:t>
      </w:r>
      <w:r>
        <w:rPr>
          <w:rFonts w:hint="eastAsia" w:asciiTheme="minorEastAsia" w:hAnsiTheme="minorEastAsia"/>
          <w:b/>
          <w:bCs/>
          <w:sz w:val="18"/>
          <w:szCs w:val="18"/>
        </w:rPr>
        <w:t>金额计算</w:t>
      </w:r>
    </w:p>
    <w:p>
      <w:pPr>
        <w:pStyle w:val="18"/>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本产品赎回</w:t>
      </w:r>
      <w:r>
        <w:rPr>
          <w:rFonts w:asciiTheme="minorEastAsia" w:hAnsiTheme="minorEastAsia"/>
          <w:bCs/>
          <w:color w:val="auto"/>
          <w:sz w:val="18"/>
          <w:szCs w:val="18"/>
        </w:rPr>
        <w:t>金额</w:t>
      </w:r>
      <w:r>
        <w:rPr>
          <w:rFonts w:hint="eastAsia" w:asciiTheme="minorEastAsia" w:hAnsiTheme="minorEastAsia"/>
          <w:bCs/>
          <w:color w:val="auto"/>
          <w:sz w:val="18"/>
          <w:szCs w:val="18"/>
        </w:rPr>
        <w:t>的计算公式如下：</w:t>
      </w:r>
    </w:p>
    <w:p>
      <w:pPr>
        <w:pStyle w:val="18"/>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赎回总金额=赎回份额×赎回日该产品份额净值</w:t>
      </w:r>
    </w:p>
    <w:p>
      <w:pPr>
        <w:pStyle w:val="18"/>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赎回费用=赎回总金额×赎回费率</w:t>
      </w:r>
    </w:p>
    <w:p>
      <w:pPr>
        <w:pStyle w:val="18"/>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净赎回金额=赎回总金额-赎回费用</w:t>
      </w:r>
    </w:p>
    <w:p>
      <w:pPr>
        <w:pStyle w:val="18"/>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上述计算结果均按四舍五入方法，保留到小数点后</w:t>
      </w: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位，由此产生的收益或损失由理财产品承担。</w:t>
      </w:r>
    </w:p>
    <w:p>
      <w:pPr>
        <w:pStyle w:val="18"/>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7.</w:t>
      </w:r>
      <w:r>
        <w:rPr>
          <w:rFonts w:hint="eastAsia" w:asciiTheme="minorEastAsia" w:hAnsiTheme="minorEastAsia"/>
          <w:b/>
          <w:bCs/>
          <w:color w:val="auto"/>
          <w:sz w:val="18"/>
          <w:szCs w:val="18"/>
        </w:rPr>
        <w:t>赎回</w:t>
      </w:r>
      <w:r>
        <w:rPr>
          <w:rFonts w:asciiTheme="minorEastAsia" w:hAnsiTheme="minorEastAsia" w:eastAsiaTheme="minorEastAsia"/>
          <w:b/>
          <w:color w:val="auto"/>
          <w:sz w:val="18"/>
          <w:szCs w:val="18"/>
        </w:rPr>
        <w:t>的数量限制</w:t>
      </w:r>
    </w:p>
    <w:p>
      <w:pPr>
        <w:pStyle w:val="18"/>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18"/>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（三）</w:t>
      </w:r>
      <w:r>
        <w:rPr>
          <w:rFonts w:hint="eastAsia" w:asciiTheme="majorEastAsia" w:hAnsiTheme="majorEastAsia" w:eastAsiaTheme="majorEastAsia"/>
          <w:b/>
          <w:color w:val="auto"/>
          <w:sz w:val="18"/>
          <w:szCs w:val="18"/>
        </w:rPr>
        <w:t>申购与赎回的原则</w:t>
      </w:r>
    </w:p>
    <w:p>
      <w:pPr>
        <w:pStyle w:val="18"/>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金额申购、份额赎回</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原则，即申购以金额申请，赎回以份额申请。</w:t>
      </w:r>
    </w:p>
    <w:p>
      <w:pPr>
        <w:pStyle w:val="18"/>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2.</w:t>
      </w:r>
      <w:r>
        <w:rPr>
          <w:rFonts w:asciiTheme="majorEastAsia" w:hAnsiTheme="majorEastAsia" w:eastAsiaTheme="majorEastAsia"/>
          <w:bCs/>
          <w:color w:val="auto"/>
          <w:sz w:val="18"/>
          <w:szCs w:val="18"/>
        </w:rPr>
        <w:t>申购和赎回采用“</w:t>
      </w:r>
      <w:r>
        <w:rPr>
          <w:rFonts w:hint="eastAsia" w:asciiTheme="majorEastAsia" w:hAnsiTheme="majorEastAsia" w:eastAsiaTheme="majorEastAsia"/>
          <w:bCs/>
          <w:color w:val="auto"/>
          <w:sz w:val="18"/>
          <w:szCs w:val="18"/>
        </w:rPr>
        <w:t>未知价</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原则，即本产品申购申请和赎回申请提交时，适用的产品份额净值都是未知的。</w:t>
      </w:r>
    </w:p>
    <w:p>
      <w:pPr>
        <w:pStyle w:val="18"/>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3.</w:t>
      </w:r>
      <w:r>
        <w:rPr>
          <w:rFonts w:asciiTheme="majorEastAsia" w:hAnsiTheme="majorEastAsia" w:eastAsiaTheme="majorEastAsia"/>
          <w:color w:val="auto"/>
          <w:sz w:val="18"/>
          <w:szCs w:val="18"/>
        </w:rPr>
        <w:t>申购、</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申请可以在对应申购</w:t>
      </w:r>
      <w:r>
        <w:rPr>
          <w:rFonts w:hint="eastAsia" w:asciiTheme="majorEastAsia" w:hAnsiTheme="majorEastAsia" w:eastAsiaTheme="majorEastAsia"/>
          <w:color w:val="auto"/>
          <w:sz w:val="18"/>
          <w:szCs w:val="18"/>
        </w:rPr>
        <w:t>日、</w:t>
      </w:r>
      <w:r>
        <w:rPr>
          <w:rFonts w:asciiTheme="majorEastAsia" w:hAnsiTheme="majorEastAsia" w:eastAsiaTheme="majorEastAsia"/>
          <w:color w:val="auto"/>
          <w:sz w:val="18"/>
          <w:szCs w:val="18"/>
        </w:rPr>
        <w:t>赎回</w:t>
      </w:r>
      <w:r>
        <w:rPr>
          <w:rFonts w:hint="eastAsia" w:asciiTheme="majorEastAsia" w:hAnsiTheme="majorEastAsia" w:eastAsiaTheme="majorEastAsia"/>
          <w:color w:val="auto"/>
          <w:sz w:val="18"/>
          <w:szCs w:val="18"/>
        </w:rPr>
        <w:t>日交易时间</w:t>
      </w:r>
      <w:r>
        <w:rPr>
          <w:rFonts w:asciiTheme="majorEastAsia" w:hAnsiTheme="majorEastAsia" w:eastAsiaTheme="majorEastAsia"/>
          <w:color w:val="auto"/>
          <w:sz w:val="18"/>
          <w:szCs w:val="18"/>
        </w:rPr>
        <w:t>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pStyle w:val="18"/>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赎回遵循“先进先出”原则，即按照投资者认购、申购的先后次序进行顺序赎回。</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（四）拒绝或暂停申购的情形</w:t>
      </w:r>
    </w:p>
    <w:p>
      <w:pPr>
        <w:pStyle w:val="18"/>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w:t>
      </w:r>
      <w:r>
        <w:rPr>
          <w:rFonts w:asciiTheme="majorEastAsia" w:hAnsiTheme="majorEastAsia" w:eastAsiaTheme="majorEastAsia"/>
          <w:color w:val="auto"/>
          <w:sz w:val="18"/>
          <w:szCs w:val="18"/>
        </w:rPr>
        <w:t>申购申请：</w:t>
      </w:r>
    </w:p>
    <w:p>
      <w:pPr>
        <w:pStyle w:val="18"/>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18"/>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.发生暂停理财资产估值情况时，产品管理人可暂停接受投资者的申购申请。</w:t>
      </w:r>
    </w:p>
    <w:p>
      <w:pPr>
        <w:pStyle w:val="18"/>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18"/>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.本产品出现当日净收益小于零的情形，为保护持有人的权益，产品管理人可暂停本产品的申购。</w:t>
      </w:r>
    </w:p>
    <w:p>
      <w:pPr>
        <w:pStyle w:val="18"/>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.产品管理人认为接受某笔或某些申购申请可能会影响或损害现有理财份额持有人权益时。</w:t>
      </w:r>
    </w:p>
    <w:p>
      <w:pPr>
        <w:pStyle w:val="18"/>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.理财产品规模过大，产品管理人无法找到合适的投资品种，或其他可能对理财业绩产生负面影响，从而损害现有理财份额持有人权益的情形。</w:t>
      </w:r>
    </w:p>
    <w:p>
      <w:pPr>
        <w:pStyle w:val="18"/>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7</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18"/>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8</w:t>
      </w:r>
      <w:r>
        <w:rPr>
          <w:rFonts w:hint="eastAsia" w:asciiTheme="majorEastAsia" w:hAnsiTheme="majorEastAsia" w:eastAsiaTheme="majorEastAsia"/>
          <w:color w:val="auto"/>
          <w:sz w:val="18"/>
          <w:szCs w:val="18"/>
        </w:rPr>
        <w:t>.法律法规规定或监管机构认定的其他情形。</w:t>
      </w:r>
    </w:p>
    <w:p>
      <w:pPr>
        <w:pStyle w:val="18"/>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如果投资者的申购申请被拒绝，被拒绝的申购款项将退还给投资者。在暂停申购的情况消除时，产品管理人应及时恢复申购业务的办理。</w:t>
      </w:r>
    </w:p>
    <w:p>
      <w:pPr>
        <w:pStyle w:val="18"/>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（五）暂停赎回或延缓支付赎回款项的情形</w:t>
      </w:r>
    </w:p>
    <w:p>
      <w:pPr>
        <w:pStyle w:val="18"/>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发生下列情形时，产品管理人可暂停接受投资者的赎回申请或延缓支付赎回款项：</w:t>
      </w:r>
    </w:p>
    <w:p>
      <w:pPr>
        <w:pStyle w:val="18"/>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.因不可抗力导致产品管理人不能支付赎回款项。</w:t>
      </w:r>
    </w:p>
    <w:p>
      <w:pPr>
        <w:pStyle w:val="18"/>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.发生暂停理财资产估值情况时，产品管理人可暂停接受投资者的赎回申请或延缓支付赎回款项。</w:t>
      </w:r>
    </w:p>
    <w:p>
      <w:pPr>
        <w:pStyle w:val="18"/>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18"/>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w:t>
      </w:r>
      <w:r>
        <w:rPr>
          <w:rFonts w:asciiTheme="majorEastAsia" w:hAnsiTheme="majorEastAsia" w:eastAsiaTheme="majorEastAsia"/>
          <w:color w:val="auto"/>
          <w:sz w:val="18"/>
          <w:szCs w:val="18"/>
        </w:rPr>
        <w:t>证券交易所或银行间市场出现异常市场情况，管理人无法</w:t>
      </w:r>
      <w:r>
        <w:rPr>
          <w:rFonts w:hint="eastAsia" w:asciiTheme="majorEastAsia" w:hAnsiTheme="majorEastAsia" w:eastAsiaTheme="majorEastAsia"/>
          <w:color w:val="auto"/>
          <w:sz w:val="18"/>
          <w:szCs w:val="18"/>
        </w:rPr>
        <w:t>开展产品的</w:t>
      </w:r>
      <w:r>
        <w:rPr>
          <w:rFonts w:asciiTheme="majorEastAsia" w:hAnsiTheme="majorEastAsia" w:eastAsiaTheme="majorEastAsia"/>
          <w:color w:val="auto"/>
          <w:sz w:val="18"/>
          <w:szCs w:val="18"/>
        </w:rPr>
        <w:t>流动性</w:t>
      </w:r>
      <w:r>
        <w:rPr>
          <w:rFonts w:hint="eastAsia" w:asciiTheme="majorEastAsia" w:hAnsiTheme="majorEastAsia" w:eastAsiaTheme="majorEastAsia"/>
          <w:color w:val="auto"/>
          <w:sz w:val="18"/>
          <w:szCs w:val="18"/>
        </w:rPr>
        <w:t>管理</w:t>
      </w:r>
      <w:r>
        <w:rPr>
          <w:rFonts w:asciiTheme="majorEastAsia" w:hAnsiTheme="majorEastAsia" w:eastAsiaTheme="majorEastAsia"/>
          <w:color w:val="auto"/>
          <w:sz w:val="18"/>
          <w:szCs w:val="18"/>
        </w:rPr>
        <w:t>。</w:t>
      </w:r>
    </w:p>
    <w:p>
      <w:pPr>
        <w:pStyle w:val="18"/>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.本产品出现当日净收益小于零的情形，为保护持有人的权益，产品管理人可暂停本产品的赎回。</w:t>
      </w:r>
    </w:p>
    <w:p>
      <w:pPr>
        <w:pStyle w:val="18"/>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.发生单个投资者在赎回日申请赎回的理财产品份额超过限额的。</w:t>
      </w:r>
    </w:p>
    <w:p>
      <w:pPr>
        <w:pStyle w:val="18"/>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7.发生巨额赎回。</w:t>
      </w:r>
    </w:p>
    <w:p>
      <w:pPr>
        <w:pStyle w:val="18"/>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8.产品管理人和产品托管人的技术保障等异常情况导致理财销售系统或会计系统无法正常运行。</w:t>
      </w:r>
    </w:p>
    <w:p>
      <w:pPr>
        <w:pStyle w:val="18"/>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9.证券交易所或银行间市场数据传输延迟、通讯系统故障、银行系统故障或其他非产品管理人及产品托管人所能控制的因素影响了产品运作流程。</w:t>
      </w:r>
    </w:p>
    <w:p>
      <w:pPr>
        <w:pStyle w:val="18"/>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10.法律法规规定或监管机构认定的其他情形。</w:t>
      </w:r>
    </w:p>
    <w:p>
      <w:pPr>
        <w:pStyle w:val="18"/>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bCs/>
          <w:sz w:val="18"/>
          <w:szCs w:val="18"/>
        </w:rPr>
        <w:t>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w:t>
      </w:r>
      <w:r>
        <w:rPr>
          <w:rFonts w:hint="eastAsia" w:asciiTheme="majorEastAsia" w:hAnsiTheme="majorEastAsia" w:eastAsiaTheme="majorEastAsia"/>
          <w:color w:val="auto"/>
          <w:sz w:val="18"/>
          <w:szCs w:val="18"/>
        </w:rPr>
        <w:t>在暂停赎回或延缓支付赎回款项的情况消除时，产品管理人应及时恢复赎回或支付业务赎回款项的办理。</w:t>
      </w:r>
    </w:p>
    <w:p>
      <w:pPr>
        <w:pStyle w:val="18"/>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（六）巨额赎回的情形及</w:t>
      </w:r>
      <w:r>
        <w:rPr>
          <w:rFonts w:asciiTheme="majorEastAsia" w:hAnsiTheme="majorEastAsia" w:eastAsiaTheme="majorEastAsia"/>
          <w:b/>
          <w:color w:val="auto"/>
          <w:sz w:val="18"/>
          <w:szCs w:val="18"/>
        </w:rPr>
        <w:t>处理方式</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巨额赎回的认定</w:t>
      </w:r>
    </w:p>
    <w:p>
      <w:pPr>
        <w:pStyle w:val="18"/>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巨额赎回的处理方式</w:t>
      </w:r>
    </w:p>
    <w:p>
      <w:pPr>
        <w:widowControl/>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出现巨额赎回时，产品管理人有权决定：（1）</w:t>
      </w:r>
      <w:r>
        <w:rPr>
          <w:rFonts w:asciiTheme="majorEastAsia" w:hAnsiTheme="majorEastAsia" w:eastAsiaTheme="majorEastAsia"/>
          <w:bCs/>
          <w:sz w:val="18"/>
          <w:szCs w:val="18"/>
        </w:rPr>
        <w:t>不接受</w:t>
      </w:r>
      <w:r>
        <w:rPr>
          <w:rFonts w:hint="eastAsia" w:asciiTheme="majorEastAsia" w:hAnsiTheme="majorEastAsia" w:eastAsiaTheme="majorEastAsia"/>
          <w:bCs/>
          <w:sz w:val="18"/>
          <w:szCs w:val="18"/>
        </w:rPr>
        <w:t>超出部分的净预约赎回申请，但投资者可于下一预约赎回期重新进行预约赎回申请；（</w:t>
      </w:r>
      <w:r>
        <w:rPr>
          <w:rFonts w:asciiTheme="majorEastAsia" w:hAnsiTheme="majorEastAsia" w:eastAsiaTheme="majorEastAsia"/>
          <w:bCs/>
          <w:sz w:val="18"/>
          <w:szCs w:val="18"/>
        </w:rPr>
        <w:t>2）延缓支付赎回款项</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如产品管理人认为有必要，</w:t>
      </w:r>
      <w:r>
        <w:rPr>
          <w:rFonts w:hint="eastAsia" w:asciiTheme="majorEastAsia" w:hAnsiTheme="majorEastAsia" w:eastAsiaTheme="majorEastAsia"/>
          <w:bCs/>
          <w:sz w:val="18"/>
          <w:szCs w:val="18"/>
        </w:rPr>
        <w:t>针对</w:t>
      </w:r>
      <w:r>
        <w:rPr>
          <w:rFonts w:asciiTheme="majorEastAsia" w:hAnsiTheme="majorEastAsia" w:eastAsiaTheme="majorEastAsia"/>
          <w:bCs/>
          <w:sz w:val="18"/>
          <w:szCs w:val="18"/>
        </w:rPr>
        <w:t>已经</w:t>
      </w:r>
      <w:r>
        <w:rPr>
          <w:rFonts w:hint="eastAsia" w:asciiTheme="majorEastAsia" w:hAnsiTheme="majorEastAsia" w:eastAsiaTheme="majorEastAsia"/>
          <w:bCs/>
          <w:sz w:val="18"/>
          <w:szCs w:val="18"/>
        </w:rPr>
        <w:t>确认</w:t>
      </w:r>
      <w:r>
        <w:rPr>
          <w:rFonts w:asciiTheme="majorEastAsia" w:hAnsiTheme="majorEastAsia" w:eastAsiaTheme="majorEastAsia"/>
          <w:bCs/>
          <w:sz w:val="18"/>
          <w:szCs w:val="18"/>
        </w:rPr>
        <w:t>的赎回申请</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可以延缓支付赎回款项。延缓支付赎回款项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。（3）法律法规规定或监管机构规定的其他措施。</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巨额赎回的公告</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在发生巨额赎回产品管理人暂停接受投资者预约赎回申请时，产品管理人将依约定发布相关公告信息。</w:t>
      </w:r>
    </w:p>
    <w:p>
      <w:pPr>
        <w:pStyle w:val="18"/>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（七）日期遇非工作日的调整</w:t>
      </w:r>
    </w:p>
    <w:p>
      <w:pPr>
        <w:pStyle w:val="18"/>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申购日、申购确认日、赎回日以及赎回确认日等）如遇非工作日则产品管理人可做相应调整。产品管理人对上述日期保留变更的权利，调整后的日期以产品管理人发布的公告中所载明的日期为准。</w:t>
      </w:r>
    </w:p>
    <w:p>
      <w:pPr>
        <w:pStyle w:val="18"/>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（八）投资者持有理财份额的限额和理财产品总规模限额</w:t>
      </w:r>
    </w:p>
    <w:p>
      <w:pPr>
        <w:pStyle w:val="18"/>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kern w:val="0"/>
          <w:sz w:val="18"/>
          <w:szCs w:val="18"/>
        </w:rPr>
      </w:pPr>
      <w:r>
        <w:rPr>
          <w:rFonts w:asciiTheme="minorEastAsia" w:hAnsiTheme="minorEastAsia"/>
          <w:bCs/>
          <w:sz w:val="18"/>
          <w:szCs w:val="18"/>
        </w:rPr>
        <w:br w:type="page"/>
      </w:r>
    </w:p>
    <w:bookmarkEnd w:id="75"/>
    <w:p>
      <w:pPr>
        <w:pStyle w:val="2"/>
        <w:spacing w:before="0" w:after="0" w:line="360" w:lineRule="auto"/>
        <w:jc w:val="center"/>
        <w:rPr>
          <w:rFonts w:ascii="Times New Roman"/>
          <w:sz w:val="30"/>
        </w:rPr>
      </w:pPr>
      <w:bookmarkStart w:id="81" w:name="_Toc90742321"/>
      <w:bookmarkStart w:id="82" w:name="_Toc90742688"/>
      <w:bookmarkStart w:id="83" w:name="_Toc27226"/>
      <w:bookmarkStart w:id="84" w:name="_Toc16265"/>
      <w:bookmarkStart w:id="85" w:name="_Toc15203"/>
      <w:bookmarkStart w:id="86" w:name="_Toc90742390"/>
      <w:bookmarkStart w:id="87" w:name="_Toc74065741"/>
      <w:bookmarkStart w:id="88" w:name="_Toc29948"/>
      <w:bookmarkStart w:id="89" w:name="_Toc92377134"/>
      <w:bookmarkStart w:id="90" w:name="_Toc116984888"/>
      <w:bookmarkStart w:id="91" w:name="_Toc7151"/>
      <w:bookmarkStart w:id="92" w:name="_Toc3266"/>
      <w:bookmarkStart w:id="93" w:name="_Toc79154668"/>
      <w:bookmarkStart w:id="94" w:name="_Toc22074"/>
      <w:bookmarkStart w:id="95" w:name="_Toc6714"/>
      <w:bookmarkStart w:id="96" w:name="_Toc27189"/>
      <w:bookmarkStart w:id="97" w:name="_Toc29784"/>
      <w:r>
        <w:rPr>
          <w:rFonts w:ascii="Times New Roman"/>
          <w:sz w:val="30"/>
        </w:rPr>
        <w:t>第</w:t>
      </w:r>
      <w:r>
        <w:rPr>
          <w:rFonts w:hint="eastAsia" w:ascii="Times New Roman"/>
          <w:sz w:val="30"/>
        </w:rPr>
        <w:t>五条</w:t>
      </w:r>
      <w:r>
        <w:rPr>
          <w:rFonts w:ascii="Times New Roman"/>
          <w:sz w:val="30"/>
        </w:rPr>
        <w:t xml:space="preserve">  </w:t>
      </w:r>
      <w:r>
        <w:rPr>
          <w:rFonts w:hint="eastAsia" w:ascii="Times New Roman"/>
          <w:sz w:val="30"/>
        </w:rPr>
        <w:t>理财产品的投资</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pPr>
        <w:pStyle w:val="18"/>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18"/>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在严格控制组合风险的前提下，通过不断优化组合，力争实现超越业绩比较基准的收益。</w:t>
      </w:r>
    </w:p>
    <w:p>
      <w:pPr>
        <w:pStyle w:val="18"/>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本产品主要投资范围包括但不限于（实际投资范围可根据法律法规及监管规定进行调整）：</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（1）银行存款、债券逆回购、货币基金等货币市场工具及其它银行间和交易所资金融通工具；</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（3）符合监管要求的债权类资产。</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（4）以套期保值为目的的国债期货、利率互换、信用风险缓释工具、债券借贷。</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（6）其他风险不高于前述资产的资产。</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2.投资组合比例</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（1）本产品投资于债权类资产的比例不低于产品总资产的80%。</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（2）符合监管要求的非标准化债权类资产低于产品净资产的50%。</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（3）国债期货、利率互换、债券借贷的合约价值占产品总资产比例不高于5%。</w:t>
      </w:r>
    </w:p>
    <w:p>
      <w:pPr>
        <w:autoSpaceDE w:val="0"/>
        <w:autoSpaceDN w:val="0"/>
        <w:adjustRightInd w:val="0"/>
        <w:spacing w:line="360" w:lineRule="auto"/>
        <w:ind w:firstLine="361" w:firstLineChars="200"/>
        <w:jc w:val="left"/>
        <w:rPr>
          <w:rFonts w:asciiTheme="majorEastAsia" w:hAnsiTheme="majorEastAsia" w:eastAsiaTheme="majorEastAsia"/>
          <w:bCs/>
          <w:sz w:val="18"/>
          <w:szCs w:val="18"/>
        </w:rPr>
      </w:pPr>
      <w:r>
        <w:rPr>
          <w:rFonts w:hint="eastAsia" w:asciiTheme="majorEastAsia" w:hAnsiTheme="majorEastAsia" w:eastAsiaTheme="majorEastAsia"/>
          <w:b/>
          <w:bCs/>
          <w:kern w:val="0"/>
          <w:sz w:val="18"/>
          <w:szCs w:val="18"/>
        </w:rPr>
        <w:t>注：本产品可能投资不存在活跃交易市场，并且需要采用估值技术确定公允价值的资产，且投资上述资产的比例达到理财产品净资产50%以上</w:t>
      </w:r>
      <w:r>
        <w:rPr>
          <w:rFonts w:hint="eastAsia" w:asciiTheme="majorEastAsia" w:hAnsiTheme="majorEastAsia" w:eastAsiaTheme="majorEastAsia"/>
          <w:b/>
          <w:bCs/>
          <w:sz w:val="18"/>
          <w:szCs w:val="18"/>
        </w:rPr>
        <w:t>。</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.如果法律法规对本销售文件约定投资组合比例限制进行变更的，以变更后的规定为准。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r>
        <w:rPr>
          <w:rFonts w:ascii="黑体" w:hAnsi="黑体" w:eastAsia="黑体"/>
          <w:bCs/>
          <w:sz w:val="18"/>
          <w:szCs w:val="18"/>
        </w:rPr>
        <w:t>3】</w:t>
      </w:r>
      <w:r>
        <w:rPr>
          <w:rFonts w:hint="eastAsia" w:ascii="黑体" w:hAnsi="黑体" w:eastAsia="黑体"/>
          <w:bCs/>
          <w:sz w:val="18"/>
          <w:szCs w:val="18"/>
        </w:rPr>
        <w:t>个月内</w:t>
      </w:r>
      <w:r>
        <w:rPr>
          <w:rFonts w:hint="eastAsia" w:asciiTheme="majorEastAsia" w:hAnsiTheme="majorEastAsia" w:eastAsiaTheme="majorEastAsia"/>
          <w:bCs/>
          <w:sz w:val="18"/>
          <w:szCs w:val="18"/>
        </w:rPr>
        <w:t>使产品的投资组合比例符合本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产品管理人应当根据市场情况调整投资范围、投资资产种类或投资比例，并进行相应公告。超出前述约定投资比例的，除高风险类型的理财产品超出比例范围投资较低风险资产外，</w:t>
      </w:r>
      <w:r>
        <w:rPr>
          <w:rFonts w:ascii="黑体" w:hAnsi="黑体" w:eastAsia="黑体"/>
          <w:bCs/>
          <w:sz w:val="18"/>
          <w:szCs w:val="18"/>
        </w:rPr>
        <w:t>投资者有权不接受变更</w:t>
      </w:r>
      <w:r>
        <w:rPr>
          <w:rFonts w:hint="eastAsia" w:ascii="黑体" w:hAnsi="黑体" w:eastAsia="黑体"/>
          <w:bCs/>
          <w:sz w:val="18"/>
          <w:szCs w:val="18"/>
        </w:rPr>
        <w:t>，并通过赎回退出本产品。</w:t>
      </w:r>
    </w:p>
    <w:p>
      <w:pPr>
        <w:pStyle w:val="18"/>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18"/>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pStyle w:val="18"/>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本</w:t>
      </w:r>
      <w:r>
        <w:rPr>
          <w:rFonts w:hint="eastAsia" w:asciiTheme="majorEastAsia" w:hAnsiTheme="majorEastAsia" w:eastAsiaTheme="majorEastAsia"/>
          <w:color w:val="auto"/>
          <w:sz w:val="18"/>
          <w:szCs w:val="18"/>
        </w:rPr>
        <w:t>产品投资单只证券或者单只公募证券投资基金的市值不得超过该理财产品净资产的</w:t>
      </w:r>
      <w:r>
        <w:rPr>
          <w:rFonts w:asciiTheme="majorEastAsia" w:hAnsiTheme="majorEastAsia" w:eastAsiaTheme="majorEastAsia"/>
          <w:color w:val="auto"/>
          <w:sz w:val="18"/>
          <w:szCs w:val="18"/>
        </w:rPr>
        <w:t>10%</w:t>
      </w:r>
      <w:r>
        <w:rPr>
          <w:rFonts w:hint="eastAsia" w:asciiTheme="majorEastAsia" w:hAnsiTheme="majorEastAsia" w:eastAsiaTheme="majorEastAsia"/>
          <w:color w:val="auto"/>
          <w:sz w:val="18"/>
          <w:szCs w:val="18"/>
        </w:rPr>
        <w:t>。</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（2）本产品管理人全部公募理财产品持有单只证券或单只公募证券投资基金的市值，不得超过该证券市值或该公募证券投资基金市值的30%。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（3）本产品管理人全部理财产品持有单一上市公司发行的股票，不得超过该上市公司可流通股票的30%。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（4）本产品管理人全部开放式公募理财产品投资单一上市公司发行的股票不得超过该上市公司可流通股票的15%。</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（5）本产品直接投资于流动性受限资产的市值在开放日不得超过该产品资产净值的15%。</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因证券市场波动、上市公司股票停牌、理财产品规模变动等因素导致理财产品不符合本款规定比例限制的，该理财产品不得主动新增投资流动性受限资产。</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6）每只开放式公募理财产品定期开放周期不低于90天的，在开放日及开放日前7个工作日内持有不低于该产品资产净值5%的现金或者到期日在一年以内的国债、中央银行票据和政策性金融债券。其他开放式公募理财产品持续满足持有不低于该产品资产净值5%的现金或者到期日在一年以内的国债、中央银行票据和政策性金融债券。。</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7）本产品每日确认且需当日支付的净赎回申请不超过前一工作日产品7个工作日可变现资产的可变现价值，银保监会另有规定的除外。在开放日前一工作日内，本产品7个工作日可变现资产的可变现价值应当不低于该产品资产净值的10%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kern w:val="0"/>
          <w:sz w:val="18"/>
          <w:szCs w:val="18"/>
        </w:rPr>
        <w:t>（8）本产品因为流动性需要可开展存单质押、债券正回购等融资业务，本产品总资产不超过净资产的140%</w:t>
      </w:r>
      <w:r>
        <w:rPr>
          <w:rFonts w:hint="eastAsia" w:asciiTheme="majorEastAsia" w:hAnsiTheme="majorEastAsia" w:eastAsiaTheme="majorEastAsia"/>
          <w:bCs/>
          <w:sz w:val="18"/>
          <w:szCs w:val="18"/>
        </w:rPr>
        <w:t xml:space="preserve">。 </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【通过对经济基本面、企业盈利、无风险利率水平、资金面等因素进行定性和定量分析，根据产品的业绩目标和回撤目标制定各个阶段产品资产投资比例。</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将密切关注股票、债券以及货币市场的运行状况与风险收益特征，综合分析宏观经济基本面、政策面、流动性、估值与供求等因素，判断金融市场运行趋势和不同资产类别的相对投资价值，对各大类资产的风险收益特征进行评估，在符合本产品相关投资比例规定的前提下，确定各类属资产的配置比例，并依据各因素的动态变化进行及时调整。】</w:t>
      </w:r>
    </w:p>
    <w:p>
      <w:pPr>
        <w:pStyle w:val="7"/>
        <w:spacing w:line="360" w:lineRule="auto"/>
        <w:ind w:firstLine="360" w:firstLineChars="200"/>
        <w:rPr>
          <w:rFonts w:asciiTheme="majorEastAsia" w:hAnsiTheme="majorEastAsia" w:eastAsiaTheme="majorEastAsia"/>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98" w:name="_Toc116984889"/>
      <w:bookmarkStart w:id="99" w:name="_Toc18329"/>
      <w:bookmarkStart w:id="100" w:name="_Toc14893"/>
      <w:bookmarkStart w:id="101" w:name="_Toc18526"/>
      <w:bookmarkStart w:id="102" w:name="_Toc74065742"/>
      <w:bookmarkStart w:id="103" w:name="_Toc79154669"/>
      <w:bookmarkStart w:id="104" w:name="_Toc141703885"/>
      <w:bookmarkStart w:id="105" w:name="_Toc1823"/>
      <w:bookmarkStart w:id="106" w:name="_Toc7848"/>
      <w:bookmarkStart w:id="107" w:name="_Toc139991735"/>
      <w:bookmarkStart w:id="108" w:name="_Toc17912"/>
      <w:bookmarkStart w:id="109" w:name="_Toc26986"/>
      <w:bookmarkStart w:id="110" w:name="_Toc21988"/>
      <w:bookmarkStart w:id="111" w:name="_Toc4741"/>
      <w:bookmarkStart w:id="112" w:name="_Toc92377135"/>
      <w:bookmarkStart w:id="113" w:name="_Toc18797"/>
      <w:r>
        <w:rPr>
          <w:rFonts w:ascii="Times New Roman"/>
          <w:sz w:val="30"/>
        </w:rPr>
        <w:t>第</w:t>
      </w:r>
      <w:r>
        <w:rPr>
          <w:rFonts w:hint="eastAsia" w:ascii="Times New Roman"/>
          <w:sz w:val="30"/>
        </w:rPr>
        <w:t>六条</w:t>
      </w:r>
      <w:r>
        <w:rPr>
          <w:rFonts w:ascii="Times New Roman"/>
          <w:sz w:val="30"/>
        </w:rPr>
        <w:t xml:space="preserve">  </w:t>
      </w:r>
      <w:r>
        <w:rPr>
          <w:rFonts w:hint="eastAsia" w:ascii="Times New Roman"/>
          <w:sz w:val="30"/>
        </w:rPr>
        <w:t>理财产品的资产</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pPr>
        <w:pStyle w:val="18"/>
        <w:spacing w:line="360" w:lineRule="auto"/>
        <w:ind w:firstLine="361" w:firstLineChars="200"/>
        <w:rPr>
          <w:rFonts w:asciiTheme="majorEastAsia" w:hAnsiTheme="majorEastAsia" w:eastAsiaTheme="majorEastAsia"/>
          <w:b/>
          <w:color w:val="auto"/>
          <w:sz w:val="18"/>
          <w:szCs w:val="18"/>
        </w:rPr>
      </w:pPr>
      <w:bookmarkStart w:id="114" w:name="_Hlk490214295"/>
      <w:r>
        <w:rPr>
          <w:rFonts w:hint="eastAsia" w:asciiTheme="majorEastAsia" w:hAnsiTheme="majorEastAsia" w:eastAsiaTheme="majorEastAsia"/>
          <w:b/>
          <w:color w:val="auto"/>
          <w:sz w:val="18"/>
          <w:szCs w:val="18"/>
        </w:rPr>
        <w:t>（一）理财产品的资产的保管和处分</w:t>
      </w:r>
    </w:p>
    <w:p>
      <w:pPr>
        <w:pStyle w:val="18"/>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18"/>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18"/>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18"/>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18"/>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18"/>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114"/>
    <w:p>
      <w:pPr>
        <w:pStyle w:val="2"/>
        <w:spacing w:before="0" w:after="0" w:line="360" w:lineRule="auto"/>
        <w:jc w:val="center"/>
        <w:rPr>
          <w:rFonts w:ascii="Times New Roman"/>
          <w:sz w:val="28"/>
          <w:szCs w:val="28"/>
        </w:rPr>
      </w:pPr>
      <w:bookmarkStart w:id="115" w:name="_Toc83391971"/>
      <w:bookmarkStart w:id="116" w:name="_Toc116984890"/>
      <w:bookmarkStart w:id="117" w:name="_Toc92377136"/>
      <w:bookmarkStart w:id="118" w:name="_Toc23822"/>
      <w:bookmarkStart w:id="119" w:name="_Toc98560352"/>
      <w:bookmarkStart w:id="120" w:name="_Toc10463"/>
      <w:bookmarkStart w:id="121" w:name="_Toc17244"/>
      <w:bookmarkStart w:id="122" w:name="_Toc1427"/>
      <w:bookmarkStart w:id="123" w:name="_Toc74065743"/>
      <w:bookmarkStart w:id="124" w:name="_Toc7920"/>
      <w:bookmarkStart w:id="125" w:name="_Toc123112234"/>
      <w:bookmarkStart w:id="126" w:name="_Toc123051452"/>
      <w:bookmarkStart w:id="127" w:name="_Toc4003"/>
      <w:bookmarkStart w:id="128" w:name="_Toc610"/>
      <w:bookmarkStart w:id="129" w:name="_Toc23261"/>
      <w:bookmarkStart w:id="130" w:name="_Toc20733"/>
      <w:bookmarkStart w:id="131" w:name="_Toc123102453"/>
      <w:bookmarkStart w:id="132" w:name="_Toc79392606"/>
      <w:bookmarkStart w:id="133" w:name="_Toc141703886"/>
      <w:bookmarkStart w:id="134" w:name="_Toc79154670"/>
      <w:bookmarkStart w:id="135" w:name="_Toc48649707"/>
      <w:bookmarkStart w:id="136" w:name="_Toc139991736"/>
      <w:bookmarkStart w:id="137" w:name="_Toc1270"/>
      <w:r>
        <w:rPr>
          <w:rFonts w:hint="eastAsia" w:ascii="Times New Roman"/>
          <w:sz w:val="28"/>
          <w:szCs w:val="28"/>
        </w:rPr>
        <w:t>第七条</w:t>
      </w:r>
      <w:r>
        <w:rPr>
          <w:rFonts w:ascii="Times New Roman"/>
          <w:sz w:val="28"/>
          <w:szCs w:val="28"/>
        </w:rPr>
        <w:t xml:space="preserve">  </w:t>
      </w:r>
      <w:r>
        <w:rPr>
          <w:rFonts w:hint="eastAsia" w:ascii="Times New Roman"/>
          <w:sz w:val="28"/>
          <w:szCs w:val="28"/>
        </w:rPr>
        <w:t>理财产品项下资产的估值</w:t>
      </w:r>
      <w:bookmarkEnd w:id="115"/>
      <w:bookmarkEnd w:id="116"/>
      <w:bookmarkEnd w:id="117"/>
    </w:p>
    <w:p>
      <w:pPr>
        <w:pStyle w:val="18"/>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18"/>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（一）估值目的</w:t>
      </w:r>
    </w:p>
    <w:p>
      <w:pPr>
        <w:pStyle w:val="18"/>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理财资产估值的目的是客观、准确地反映理财资产是否保值、增值。</w:t>
      </w:r>
    </w:p>
    <w:p>
      <w:pPr>
        <w:pStyle w:val="18"/>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（二）估值频率</w:t>
      </w:r>
    </w:p>
    <w:p>
      <w:pPr>
        <w:pStyle w:val="7"/>
        <w:spacing w:line="360" w:lineRule="auto"/>
        <w:ind w:firstLine="360" w:firstLineChars="200"/>
        <w:rPr>
          <w:rFonts w:asciiTheme="minorEastAsia" w:hAnsiTheme="minorEastAsia" w:eastAsiaTheme="minorEastAsia"/>
          <w:color w:val="2E3033"/>
          <w:sz w:val="18"/>
          <w:szCs w:val="18"/>
        </w:rPr>
      </w:pPr>
      <w:r>
        <w:rPr>
          <w:rFonts w:hint="eastAsia" w:asciiTheme="minorEastAsia" w:hAnsiTheme="minorEastAsia" w:eastAsiaTheme="minorEastAsia"/>
          <w:sz w:val="18"/>
          <w:szCs w:val="18"/>
        </w:rPr>
        <w:t>本产品存续期间</w:t>
      </w:r>
      <w:r>
        <w:rPr>
          <w:rFonts w:hint="eastAsia" w:cs="Times New Roman" w:asciiTheme="minorEastAsia" w:hAnsiTheme="minorEastAsia" w:eastAsiaTheme="minorEastAsia"/>
          <w:sz w:val="18"/>
          <w:szCs w:val="18"/>
        </w:rPr>
        <w:t>，每【周】进行一次估值。如遇产品</w:t>
      </w:r>
      <w:r>
        <w:rPr>
          <w:rFonts w:cs="Times New Roman" w:asciiTheme="minorEastAsia" w:hAnsiTheme="minorEastAsia" w:eastAsiaTheme="minorEastAsia"/>
          <w:sz w:val="18"/>
          <w:szCs w:val="18"/>
        </w:rPr>
        <w:t>申购</w:t>
      </w:r>
      <w:r>
        <w:rPr>
          <w:rFonts w:hint="eastAsia" w:cs="Times New Roman" w:asciiTheme="minorEastAsia" w:hAnsiTheme="minorEastAsia" w:eastAsiaTheme="minorEastAsia"/>
          <w:sz w:val="18"/>
          <w:szCs w:val="18"/>
        </w:rPr>
        <w:t>日</w:t>
      </w:r>
      <w:r>
        <w:rPr>
          <w:rFonts w:cs="Times New Roman" w:asciiTheme="minorEastAsia" w:hAnsiTheme="minorEastAsia" w:eastAsiaTheme="minorEastAsia"/>
          <w:sz w:val="18"/>
          <w:szCs w:val="18"/>
        </w:rPr>
        <w:t>/赎回</w:t>
      </w:r>
      <w:r>
        <w:rPr>
          <w:rFonts w:hint="eastAsia" w:cs="Times New Roman" w:asciiTheme="minorEastAsia" w:hAnsiTheme="minorEastAsia" w:eastAsiaTheme="minorEastAsia"/>
          <w:sz w:val="18"/>
          <w:szCs w:val="18"/>
        </w:rPr>
        <w:t>日、季度末</w:t>
      </w:r>
      <w:r>
        <w:rPr>
          <w:rFonts w:cs="Times New Roman" w:asciiTheme="minorEastAsia" w:hAnsiTheme="minorEastAsia" w:eastAsiaTheme="minorEastAsia"/>
          <w:sz w:val="18"/>
          <w:szCs w:val="18"/>
        </w:rPr>
        <w:t>、半年度</w:t>
      </w:r>
      <w:r>
        <w:rPr>
          <w:rFonts w:hint="eastAsia" w:cs="Times New Roman" w:asciiTheme="minorEastAsia" w:hAnsiTheme="minorEastAsia" w:eastAsiaTheme="minorEastAsia"/>
          <w:sz w:val="18"/>
          <w:szCs w:val="18"/>
        </w:rPr>
        <w:t>末</w:t>
      </w:r>
      <w:r>
        <w:rPr>
          <w:rFonts w:cs="Times New Roman" w:asciiTheme="minorEastAsia" w:hAnsiTheme="minorEastAsia" w:eastAsiaTheme="minorEastAsia"/>
          <w:sz w:val="18"/>
          <w:szCs w:val="18"/>
        </w:rPr>
        <w:t>、年度</w:t>
      </w:r>
      <w:r>
        <w:rPr>
          <w:rFonts w:hint="eastAsia" w:cs="Times New Roman" w:asciiTheme="minorEastAsia" w:hAnsiTheme="minorEastAsia" w:eastAsiaTheme="minorEastAsia"/>
          <w:sz w:val="18"/>
          <w:szCs w:val="18"/>
        </w:rPr>
        <w:t>末等时间节点管理</w:t>
      </w:r>
      <w:r>
        <w:rPr>
          <w:rFonts w:cs="Times New Roman" w:asciiTheme="minorEastAsia" w:hAnsiTheme="minorEastAsia" w:eastAsiaTheme="minorEastAsia"/>
          <w:sz w:val="18"/>
          <w:szCs w:val="18"/>
        </w:rPr>
        <w:t>人将</w:t>
      </w:r>
      <w:r>
        <w:rPr>
          <w:rFonts w:hint="eastAsia" w:cs="Times New Roman" w:asciiTheme="minorEastAsia" w:hAnsiTheme="minorEastAsia" w:eastAsiaTheme="minorEastAsia"/>
          <w:sz w:val="18"/>
          <w:szCs w:val="18"/>
        </w:rPr>
        <w:t>增加估值日</w:t>
      </w:r>
      <w:r>
        <w:rPr>
          <w:rFonts w:hint="eastAsia" w:asciiTheme="minorEastAsia" w:hAnsiTheme="minorEastAsia" w:eastAsiaTheme="minorEastAsia"/>
          <w:color w:val="2E3033"/>
          <w:sz w:val="18"/>
          <w:szCs w:val="18"/>
        </w:rPr>
        <w:t>。</w:t>
      </w:r>
    </w:p>
    <w:p>
      <w:pPr>
        <w:pStyle w:val="18"/>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（三）估值对象</w:t>
      </w:r>
    </w:p>
    <w:p>
      <w:pPr>
        <w:pStyle w:val="18"/>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本产品所拥有的各类证券、资产管理产品、银行存款、应收款项、其它投资等资产及负债。</w:t>
      </w:r>
    </w:p>
    <w:p>
      <w:pPr>
        <w:pStyle w:val="18"/>
        <w:spacing w:line="360" w:lineRule="auto"/>
        <w:ind w:firstLine="361" w:firstLineChars="200"/>
        <w:rPr>
          <w:rFonts w:asciiTheme="minorEastAsia" w:hAnsiTheme="minorEastAsia" w:eastAsiaTheme="minorEastAsia"/>
          <w:b/>
          <w:sz w:val="18"/>
          <w:szCs w:val="18"/>
        </w:rPr>
      </w:pPr>
      <w:r>
        <w:rPr>
          <w:rFonts w:hint="eastAsia" w:asciiTheme="minorEastAsia" w:hAnsiTheme="minorEastAsia" w:eastAsiaTheme="minorEastAsia"/>
          <w:b/>
          <w:sz w:val="18"/>
          <w:szCs w:val="18"/>
        </w:rPr>
        <w:t>（四）估值方法</w:t>
      </w:r>
    </w:p>
    <w:p>
      <w:pPr>
        <w:pStyle w:val="18"/>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1.</w:t>
      </w:r>
      <w:r>
        <w:rPr>
          <w:rFonts w:hint="eastAsia" w:asciiTheme="minorEastAsia" w:hAnsiTheme="minorEastAsia" w:eastAsiaTheme="minorEastAsia"/>
          <w:b/>
          <w:color w:val="auto"/>
          <w:sz w:val="18"/>
          <w:szCs w:val="18"/>
        </w:rPr>
        <w:t>标准化债权类资产估值</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1）债券类资产以公允价值计量，主要依据为第三方估值机构提供的价格数据。</w:t>
      </w:r>
      <w:r>
        <w:rPr>
          <w:rFonts w:hint="eastAsia" w:asciiTheme="majorEastAsia" w:hAnsiTheme="majorEastAsia" w:eastAsiaTheme="majorEastAsia"/>
          <w:bCs/>
          <w:color w:val="auto"/>
          <w:sz w:val="18"/>
          <w:szCs w:val="18"/>
        </w:rPr>
        <w:t>第三方估值机构包括：中央国债登记结算公司和中证指数有限公司。</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2）在证券交易所上市的债券，如第三方估值机构提供的估值价格与市场收盘价存在差异，且管理人认为收盘价更能体现其公允价值，可与托管人协商一致后采用收盘价进行估值。</w:t>
      </w:r>
    </w:p>
    <w:p>
      <w:pPr>
        <w:pStyle w:val="18"/>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对在交易所上市的资产支持证券和私募债，鉴于其不存在活跃市场，或未来现金流难以确定，导致第三方估值数据和市场收盘价均无法准确反映其公允价值的，可采用估值技术对其进行估值，管理人会对估值模型的有效性进行持续有效评估，并尽可能地予以修正。</w:t>
      </w:r>
      <w:r>
        <w:rPr>
          <w:rFonts w:asciiTheme="majorEastAsia" w:hAnsiTheme="majorEastAsia" w:eastAsiaTheme="majorEastAsia"/>
          <w:bCs/>
          <w:color w:val="auto"/>
          <w:sz w:val="18"/>
          <w:szCs w:val="18"/>
        </w:rPr>
        <w:t xml:space="preserve"> </w:t>
      </w:r>
    </w:p>
    <w:p>
      <w:pPr>
        <w:pStyle w:val="18"/>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(4)</w:t>
      </w:r>
      <w:r>
        <w:rPr>
          <w:rFonts w:hint="eastAsia" w:asciiTheme="majorEastAsia" w:hAnsiTheme="majorEastAsia" w:eastAsiaTheme="majorEastAsia"/>
          <w:bCs/>
          <w:color w:val="auto"/>
          <w:sz w:val="18"/>
          <w:szCs w:val="18"/>
        </w:rPr>
        <w:t>对在银行间市场或交易所市场已发行未上市流通的债券，且第三方估值机构未提供估值数据，采用估值技术确定其公允价值。</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5）同一债券同时在两个或两个以上市场交易的，按债券所处的市场及相应的估值标准，分别进行估值。</w:t>
      </w:r>
    </w:p>
    <w:p>
      <w:pPr>
        <w:pStyle w:val="18"/>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b/>
          <w:color w:val="auto"/>
          <w:sz w:val="18"/>
        </w:rPr>
        <w:t>2.</w:t>
      </w:r>
      <w:r>
        <w:rPr>
          <w:rFonts w:hint="eastAsia" w:asciiTheme="majorEastAsia" w:hAnsiTheme="majorEastAsia" w:eastAsiaTheme="majorEastAsia"/>
          <w:b/>
          <w:bCs/>
          <w:color w:val="auto"/>
          <w:sz w:val="18"/>
          <w:szCs w:val="18"/>
        </w:rPr>
        <w:t>境外债券</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18"/>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3.非标准化债权类资产</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非标准化债权类资产，是指不满足中国人民银行制定的标准化债权类资产认定标准的债权类资产。可选取第三方估值机构的价格数据或采用估值技术进行估值。</w:t>
      </w:r>
    </w:p>
    <w:p>
      <w:pPr>
        <w:pStyle w:val="18"/>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4.上市公司股票</w:t>
      </w:r>
      <w:r>
        <w:rPr>
          <w:rFonts w:hint="eastAsia" w:asciiTheme="majorEastAsia" w:hAnsiTheme="majorEastAsia" w:eastAsiaTheme="majorEastAsia"/>
          <w:b/>
          <w:bCs/>
          <w:color w:val="auto"/>
          <w:sz w:val="18"/>
          <w:szCs w:val="18"/>
        </w:rPr>
        <w:t>估值</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上市公司股票包括正常流通普通股、流通受限股票、长期停牌股票和新发行未上市股票。具体估值方法如下：</w:t>
      </w:r>
    </w:p>
    <w:p>
      <w:pPr>
        <w:pStyle w:val="18"/>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18"/>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2）送股、转增股、配股和公开增发新股等发行未上市的股票，按估值日在证券交易所上市的同一股票的收盘价或最近交易日的收盘价确定公允价值。</w:t>
      </w:r>
    </w:p>
    <w:p>
      <w:pPr>
        <w:pStyle w:val="18"/>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3）通过公开、非公开等方式取得且有明确限售期的股票，在限售期内，应以证券交易所上市交易的同一股票的公允价值为基础，引入流动性折扣进行估值。</w:t>
      </w:r>
      <w:r>
        <w:rPr>
          <w:rFonts w:hint="eastAsia" w:asciiTheme="minorEastAsia" w:hAnsiTheme="minorEastAsia" w:eastAsiaTheme="minorEastAsia"/>
          <w:color w:val="auto"/>
          <w:sz w:val="18"/>
          <w:szCs w:val="18"/>
        </w:rPr>
        <w:t>流动性折扣可依据第三方估值机构提供的数据，或采用看跌期权法以及其他合理的估值方法分析确定。</w:t>
      </w:r>
    </w:p>
    <w:p>
      <w:pPr>
        <w:pStyle w:val="18"/>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4）长期停牌股票，</w:t>
      </w:r>
      <w:r>
        <w:rPr>
          <w:rFonts w:hint="eastAsia" w:asciiTheme="minorEastAsia" w:hAnsiTheme="minorEastAsia" w:eastAsiaTheme="minorEastAsia"/>
          <w:color w:val="auto"/>
          <w:sz w:val="18"/>
          <w:szCs w:val="18"/>
        </w:rPr>
        <w:t>根据停牌原因、停牌时间及停牌公司公告等信息，采用估值技术确定公允价值。</w:t>
      </w:r>
    </w:p>
    <w:p>
      <w:pPr>
        <w:pStyle w:val="18"/>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5）</w:t>
      </w:r>
      <w:r>
        <w:rPr>
          <w:rFonts w:hint="eastAsia" w:asciiTheme="minorEastAsia" w:hAnsiTheme="minorEastAsia" w:eastAsiaTheme="minorEastAsia"/>
          <w:color w:val="auto"/>
          <w:sz w:val="18"/>
          <w:szCs w:val="18"/>
        </w:rPr>
        <w:t>新发行未上市股票，如果发行日后未发生影响公允价值计量的重大事件的，应采用发行价作为公允价值的最佳估计，已发生影响公允价值计量重大事件的应采用估值技术确定公允价值。</w:t>
      </w:r>
    </w:p>
    <w:p>
      <w:pPr>
        <w:pStyle w:val="18"/>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5.未上市公司股权</w:t>
      </w:r>
    </w:p>
    <w:p>
      <w:pPr>
        <w:pStyle w:val="18"/>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以公允价值计量，应综合考虑被评估企业实际情况、市场交易情况及其他可获得的信息，采用市场法、收益法、重置成本法等估值技术，结合流动性折扣等因素评估公允价值。</w:t>
      </w:r>
    </w:p>
    <w:p>
      <w:pPr>
        <w:pStyle w:val="18"/>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6.</w:t>
      </w:r>
      <w:r>
        <w:rPr>
          <w:rFonts w:hint="eastAsia" w:asciiTheme="minorEastAsia" w:hAnsiTheme="minorEastAsia" w:eastAsiaTheme="minorEastAsia"/>
          <w:b/>
          <w:color w:val="auto"/>
          <w:sz w:val="18"/>
          <w:szCs w:val="18"/>
        </w:rPr>
        <w:t>优先股</w:t>
      </w:r>
    </w:p>
    <w:p>
      <w:pPr>
        <w:pStyle w:val="18"/>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18"/>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7.</w:t>
      </w:r>
      <w:r>
        <w:rPr>
          <w:rFonts w:hint="eastAsia" w:asciiTheme="minorEastAsia" w:hAnsiTheme="minorEastAsia" w:eastAsiaTheme="minorEastAsia"/>
          <w:b/>
          <w:color w:val="auto"/>
          <w:sz w:val="18"/>
          <w:szCs w:val="18"/>
        </w:rPr>
        <w:t>证券投资基金估值</w:t>
      </w:r>
    </w:p>
    <w:p>
      <w:pPr>
        <w:pStyle w:val="18"/>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1）非上市基金估值</w:t>
      </w:r>
    </w:p>
    <w:p>
      <w:pPr>
        <w:pStyle w:val="18"/>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1)本产品投资的境内非货币市场基金，按所投资基金估值日的基金份额净值估值；估值日基金净值未公布的，以基金管理人公布的最近一个工作日基金份额净值计算。</w:t>
      </w:r>
    </w:p>
    <w:p>
      <w:pPr>
        <w:pStyle w:val="18"/>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2)本产品投资的境内货币市场基金，按所投资基金前一估值日后至估值日期间（含节假日）的万份收益计提估值日基金收益。</w:t>
      </w:r>
    </w:p>
    <w:p>
      <w:pPr>
        <w:pStyle w:val="18"/>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2）上市基金估值</w:t>
      </w:r>
    </w:p>
    <w:p>
      <w:pPr>
        <w:pStyle w:val="18"/>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1)本产品投资的ETF基金、境内上市定期开放式基金、封闭式基金，按照所投资基金估值日的收盘价估</w:t>
      </w:r>
      <w:r>
        <w:rPr>
          <w:rFonts w:hint="eastAsia" w:asciiTheme="minorEastAsia" w:hAnsiTheme="minorEastAsia" w:eastAsiaTheme="minorEastAsia"/>
          <w:color w:val="auto"/>
          <w:sz w:val="18"/>
          <w:szCs w:val="18"/>
        </w:rPr>
        <w:t>值；估值日无交易的，以最近交易日的收盘价估值。</w:t>
      </w:r>
    </w:p>
    <w:p>
      <w:pPr>
        <w:pStyle w:val="18"/>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2)本产品投资的境内上市开放式基金（LOF），按所投资基金估值日的基金份额净值估值；估值日基金净值未公布的，以基金管理人公布的最近一个工作日基金份额净值计算。</w:t>
      </w:r>
    </w:p>
    <w:p>
      <w:pPr>
        <w:pStyle w:val="18"/>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pPr>
        <w:pStyle w:val="18"/>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w:t>
      </w:r>
      <w:r>
        <w:rPr>
          <w:rFonts w:hint="eastAsia" w:asciiTheme="minorEastAsia" w:hAnsiTheme="minorEastAsia" w:eastAsiaTheme="minorEastAsia"/>
          <w:b/>
          <w:color w:val="auto"/>
          <w:sz w:val="18"/>
          <w:szCs w:val="18"/>
        </w:rPr>
        <w:t>其他资产管理产品的估值</w:t>
      </w:r>
    </w:p>
    <w:p>
      <w:pPr>
        <w:pStyle w:val="18"/>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sz w:val="18"/>
          <w:szCs w:val="18"/>
        </w:rPr>
        <w:t>其他资产管理产品，指理财产品投资的除证券投资基金以外的其他资产管理产品，主要包括：</w:t>
      </w:r>
      <w:r>
        <w:rPr>
          <w:rFonts w:hint="eastAsia" w:asciiTheme="minorEastAsia" w:hAnsiTheme="minorEastAsia" w:eastAsiaTheme="minorEastAsia"/>
          <w:bCs/>
          <w:sz w:val="18"/>
          <w:szCs w:val="18"/>
        </w:rPr>
        <w:t>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若无法获取净值，产品管理人可与托管人商定后，采用在当前情况下适用的估值技术确定公允价值。</w:t>
      </w:r>
    </w:p>
    <w:p>
      <w:pPr>
        <w:pStyle w:val="18"/>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9.衍生金融工具估值</w:t>
      </w:r>
    </w:p>
    <w:p>
      <w:pPr>
        <w:pStyle w:val="18"/>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w:t>
      </w:r>
      <w:r>
        <w:rPr>
          <w:rFonts w:asciiTheme="minorEastAsia" w:hAnsiTheme="minorEastAsia" w:eastAsiaTheme="minorEastAsia"/>
          <w:color w:val="auto"/>
          <w:sz w:val="18"/>
          <w:szCs w:val="18"/>
        </w:rPr>
        <w:t xml:space="preserve"> </w:t>
      </w:r>
    </w:p>
    <w:p>
      <w:pPr>
        <w:pStyle w:val="18"/>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10.</w:t>
      </w:r>
      <w:r>
        <w:rPr>
          <w:rFonts w:hint="eastAsia" w:asciiTheme="minorEastAsia" w:hAnsiTheme="minorEastAsia" w:eastAsiaTheme="minorEastAsia"/>
          <w:b/>
          <w:color w:val="auto"/>
          <w:sz w:val="18"/>
          <w:szCs w:val="18"/>
        </w:rPr>
        <w:t>存款、拆借、回购等货币市场工具的估值</w:t>
      </w:r>
    </w:p>
    <w:p>
      <w:pPr>
        <w:pStyle w:val="18"/>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sz w:val="18"/>
          <w:szCs w:val="18"/>
        </w:rPr>
        <w:t>以本金列示，按商定利率在实际持有期间内逐日计提利息。如有估值技术能更准确反映其公允价值的，采用估值技术进行估值。</w:t>
      </w:r>
    </w:p>
    <w:p>
      <w:pPr>
        <w:pStyle w:val="18"/>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11.</w:t>
      </w:r>
      <w:r>
        <w:rPr>
          <w:rFonts w:hint="eastAsia" w:asciiTheme="minorEastAsia" w:hAnsiTheme="minorEastAsia" w:eastAsiaTheme="minorEastAsia"/>
          <w:color w:val="auto"/>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18"/>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12.当开放式公募理财产品（现金管理类理财产品除外）遭遇大额申购或赎回时，管理人可以采用摆动定价机制，以确保估值的公平性。具体操作按照相关法律法规、监管规定和自律规则执行。</w:t>
      </w:r>
    </w:p>
    <w:p>
      <w:pPr>
        <w:pStyle w:val="18"/>
        <w:spacing w:line="360" w:lineRule="auto"/>
        <w:ind w:firstLine="360" w:firstLineChars="200"/>
        <w:rPr>
          <w:rFonts w:ascii="黑体" w:hAnsi="黑体" w:eastAsia="黑体"/>
          <w:color w:val="auto"/>
          <w:sz w:val="18"/>
          <w:szCs w:val="18"/>
        </w:rPr>
      </w:pPr>
      <w:r>
        <w:rPr>
          <w:rFonts w:ascii="黑体" w:hAnsi="黑体" w:eastAsia="黑体"/>
          <w:color w:val="auto"/>
          <w:sz w:val="18"/>
          <w:szCs w:val="18"/>
        </w:rPr>
        <w:t>1</w:t>
      </w:r>
      <w:r>
        <w:rPr>
          <w:rFonts w:hint="eastAsia" w:ascii="黑体" w:hAnsi="黑体" w:eastAsia="黑体"/>
          <w:color w:val="auto"/>
          <w:sz w:val="18"/>
          <w:szCs w:val="18"/>
        </w:rPr>
        <w:t>3</w:t>
      </w:r>
      <w:r>
        <w:rPr>
          <w:rFonts w:ascii="黑体" w:hAnsi="黑体" w:eastAsia="黑体"/>
          <w:color w:val="auto"/>
          <w:sz w:val="18"/>
          <w:szCs w:val="18"/>
        </w:rPr>
        <w:t>.</w:t>
      </w:r>
      <w:r>
        <w:rPr>
          <w:rFonts w:hint="eastAsia" w:ascii="黑体" w:hAnsi="黑体" w:eastAsia="黑体"/>
          <w:color w:val="auto"/>
          <w:sz w:val="18"/>
          <w:szCs w:val="18"/>
        </w:rPr>
        <w:t>★估值方法的调整</w:t>
      </w:r>
    </w:p>
    <w:p>
      <w:pPr>
        <w:pStyle w:val="18"/>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若因相关法律法规以及监管部门有规定，需要调整估值方法的，管理人应按相关规定要求使用调整后的估值方法进行估值。</w:t>
      </w:r>
    </w:p>
    <w:p>
      <w:pPr>
        <w:pStyle w:val="18"/>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（五）估值程序</w:t>
      </w:r>
    </w:p>
    <w:p>
      <w:pPr>
        <w:pStyle w:val="18"/>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color w:val="auto"/>
          <w:sz w:val="18"/>
          <w:szCs w:val="18"/>
        </w:rPr>
        <w:t>1.</w:t>
      </w:r>
      <w:r>
        <w:rPr>
          <w:rFonts w:hint="eastAsia" w:asciiTheme="minorEastAsia" w:hAnsiTheme="minorEastAsia" w:eastAsiaTheme="minorEastAsia"/>
          <w:color w:val="auto"/>
          <w:sz w:val="18"/>
          <w:szCs w:val="18"/>
        </w:rPr>
        <w:t>产品份额净值是按照估值日产品资产净值除以当日产品总份额计算，</w:t>
      </w:r>
      <w:r>
        <w:rPr>
          <w:rFonts w:asciiTheme="minorEastAsia" w:hAnsiTheme="minorEastAsia" w:eastAsiaTheme="minorEastAsia"/>
          <w:bCs/>
          <w:color w:val="auto"/>
          <w:sz w:val="18"/>
          <w:szCs w:val="18"/>
        </w:rPr>
        <w:t>四舍五入保留5位小数</w:t>
      </w:r>
      <w:r>
        <w:rPr>
          <w:rFonts w:hint="eastAsia" w:asciiTheme="minorEastAsia" w:hAnsiTheme="minorEastAsia" w:eastAsiaTheme="minorEastAsia"/>
          <w:color w:val="auto"/>
          <w:sz w:val="18"/>
          <w:szCs w:val="18"/>
        </w:rPr>
        <w:t>。国家另有规定的，从其规定。</w:t>
      </w:r>
      <w:r>
        <w:rPr>
          <w:rFonts w:hint="eastAsia" w:asciiTheme="minorEastAsia" w:hAnsiTheme="minorEastAsia" w:eastAsiaTheme="minorEastAsia"/>
          <w:bCs/>
          <w:color w:val="auto"/>
          <w:sz w:val="18"/>
          <w:szCs w:val="18"/>
        </w:rPr>
        <w:t>发生巨额赎回时，为保护投资者利益，产品管理人可提高单位产品净值的精度。</w:t>
      </w:r>
    </w:p>
    <w:p>
      <w:pPr>
        <w:pStyle w:val="18"/>
        <w:spacing w:line="360" w:lineRule="auto"/>
        <w:ind w:firstLine="360" w:firstLineChars="200"/>
        <w:rPr>
          <w:rFonts w:asciiTheme="minorEastAsia" w:hAnsiTheme="minorEastAsia" w:eastAsiaTheme="minorEastAsia"/>
          <w:sz w:val="18"/>
          <w:szCs w:val="18"/>
        </w:rPr>
      </w:pPr>
      <w:r>
        <w:rPr>
          <w:rFonts w:asciiTheme="minorEastAsia" w:hAnsiTheme="minorEastAsia" w:eastAsiaTheme="minorEastAsia"/>
          <w:sz w:val="18"/>
          <w:szCs w:val="18"/>
        </w:rPr>
        <w:t xml:space="preserve">2.产品管理人对理财资产估值后，将产品份额净值发送产品托管人，经产品托管人复核无误后，由产品管理人按规定对外公布。 </w:t>
      </w:r>
    </w:p>
    <w:p>
      <w:pPr>
        <w:pStyle w:val="18"/>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 xml:space="preserve">3. </w:t>
      </w:r>
      <w:r>
        <w:rPr>
          <w:rFonts w:hint="eastAsia" w:asciiTheme="minorEastAsia" w:hAnsiTheme="minorEastAsia" w:eastAsiaTheme="minorEastAsia"/>
          <w:color w:val="auto"/>
          <w:sz w:val="18"/>
          <w:szCs w:val="18"/>
        </w:rPr>
        <w:t>如产品管理人或产品托管人发现理财估值违反本说明书约定的估值方法、程序及相关法律法规的规定或者未能充分维护理财份额持有人权益时，应立即通知对方，共同查明原因，双方协商解决。</w:t>
      </w:r>
    </w:p>
    <w:p>
      <w:pPr>
        <w:pStyle w:val="18"/>
        <w:spacing w:line="360" w:lineRule="auto"/>
        <w:ind w:firstLine="361" w:firstLineChars="200"/>
        <w:rPr>
          <w:rFonts w:cs="Times New Roman" w:asciiTheme="minorEastAsia" w:hAnsiTheme="minorEastAsia" w:eastAsiaTheme="minorEastAsia"/>
          <w:b/>
          <w:color w:val="auto"/>
          <w:sz w:val="18"/>
          <w:szCs w:val="18"/>
        </w:rPr>
      </w:pPr>
      <w:r>
        <w:rPr>
          <w:rFonts w:hint="eastAsia" w:cs="Times New Roman" w:asciiTheme="minorEastAsia" w:hAnsiTheme="minorEastAsia" w:eastAsiaTheme="minorEastAsia"/>
          <w:b/>
          <w:color w:val="auto"/>
          <w:sz w:val="18"/>
          <w:szCs w:val="18"/>
        </w:rPr>
        <w:t>（六）估值主体</w:t>
      </w:r>
    </w:p>
    <w:p>
      <w:pPr>
        <w:pStyle w:val="18"/>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18"/>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18"/>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18"/>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18"/>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18"/>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18"/>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Pr>
        <w:pStyle w:val="2"/>
        <w:spacing w:before="0" w:after="0" w:line="360" w:lineRule="auto"/>
        <w:ind w:left="60" w:firstLine="10"/>
        <w:jc w:val="center"/>
        <w:rPr>
          <w:rFonts w:ascii="Times New Roman"/>
          <w:sz w:val="30"/>
        </w:rPr>
      </w:pPr>
      <w:bookmarkStart w:id="138" w:name="_Hlt70481650"/>
      <w:bookmarkEnd w:id="138"/>
      <w:bookmarkStart w:id="139" w:name="_Toc3601"/>
      <w:bookmarkStart w:id="140" w:name="_Toc123112235"/>
      <w:bookmarkStart w:id="141" w:name="_Toc116984891"/>
      <w:bookmarkStart w:id="142" w:name="_Toc29251"/>
      <w:bookmarkStart w:id="143" w:name="_Toc14835"/>
      <w:bookmarkStart w:id="144" w:name="_Toc15143"/>
      <w:bookmarkStart w:id="145" w:name="_Toc74065744"/>
      <w:bookmarkStart w:id="146" w:name="_Toc31644"/>
      <w:bookmarkStart w:id="147" w:name="_Toc31235"/>
      <w:bookmarkStart w:id="148" w:name="_Toc123102454"/>
      <w:bookmarkStart w:id="149" w:name="_Toc98560353"/>
      <w:bookmarkStart w:id="150" w:name="_Toc141703887"/>
      <w:bookmarkStart w:id="151" w:name="_Toc79154671"/>
      <w:bookmarkStart w:id="152" w:name="_Toc31653"/>
      <w:bookmarkStart w:id="153" w:name="_Toc26207"/>
      <w:bookmarkStart w:id="154" w:name="_Toc92377137"/>
      <w:bookmarkStart w:id="155" w:name="_Toc12245"/>
      <w:bookmarkStart w:id="156" w:name="_Toc123051453"/>
      <w:bookmarkStart w:id="157" w:name="_Toc139991737"/>
      <w:bookmarkStart w:id="158" w:name="_Toc6405"/>
      <w:r>
        <w:rPr>
          <w:rFonts w:ascii="Times New Roman"/>
          <w:sz w:val="30"/>
        </w:rPr>
        <w:t>第</w:t>
      </w:r>
      <w:r>
        <w:rPr>
          <w:rFonts w:hint="eastAsia" w:ascii="Times New Roman"/>
          <w:sz w:val="30"/>
        </w:rPr>
        <w:t>八条</w:t>
      </w:r>
      <w:r>
        <w:rPr>
          <w:rFonts w:ascii="Times New Roman"/>
          <w:sz w:val="30"/>
        </w:rPr>
        <w:t xml:space="preserve">  </w:t>
      </w:r>
      <w:r>
        <w:rPr>
          <w:rFonts w:hint="eastAsia" w:ascii="Times New Roman"/>
          <w:sz w:val="30"/>
        </w:rPr>
        <w:t>理财产品的利益分配</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Start w:id="159" w:name="_Hlt55355235"/>
      <w:bookmarkEnd w:id="159"/>
      <w:bookmarkStart w:id="160" w:name="_Toc57530239"/>
      <w:bookmarkStart w:id="161" w:name="_Toc79392580"/>
      <w:bookmarkStart w:id="162" w:name="_Toc15118234"/>
      <w:bookmarkStart w:id="163" w:name="_Toc523711668"/>
    </w:p>
    <w:p>
      <w:pPr>
        <w:pStyle w:val="18"/>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18"/>
        <w:spacing w:line="360" w:lineRule="auto"/>
        <w:ind w:firstLine="360" w:firstLineChars="200"/>
        <w:rPr>
          <w:rFonts w:hAnsi="宋体"/>
          <w:color w:val="auto"/>
          <w:sz w:val="18"/>
          <w:szCs w:val="18"/>
        </w:rPr>
      </w:pPr>
      <w:r>
        <w:rPr>
          <w:rFonts w:hint="eastAsia" w:hAnsi="宋体"/>
          <w:color w:val="auto"/>
          <w:sz w:val="18"/>
          <w:szCs w:val="18"/>
        </w:rPr>
        <w:t>1. 依据分配时点，理财利益的分配可分为“期间分配”与“终止分配”。</w:t>
      </w:r>
    </w:p>
    <w:p>
      <w:pPr>
        <w:pStyle w:val="18"/>
        <w:spacing w:line="360" w:lineRule="auto"/>
        <w:ind w:firstLine="360" w:firstLineChars="200"/>
        <w:rPr>
          <w:rFonts w:hAnsi="宋体"/>
          <w:color w:val="auto"/>
          <w:sz w:val="18"/>
          <w:szCs w:val="18"/>
        </w:rPr>
      </w:pPr>
      <w:r>
        <w:rPr>
          <w:rFonts w:hint="eastAsia" w:hAnsi="宋体"/>
          <w:color w:val="auto"/>
          <w:sz w:val="18"/>
          <w:szCs w:val="18"/>
        </w:rPr>
        <w:t>2. 依据分配方式，理财利益的分配可分为“现金分配”与“非现金分配”。</w:t>
      </w:r>
    </w:p>
    <w:p>
      <w:pPr>
        <w:pStyle w:val="18"/>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18"/>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18"/>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18"/>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18"/>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18"/>
        <w:tabs>
          <w:tab w:val="left" w:pos="321"/>
        </w:tabs>
        <w:spacing w:line="360" w:lineRule="auto"/>
        <w:ind w:firstLine="361" w:firstLineChars="200"/>
        <w:rPr>
          <w:rFonts w:hAnsi="宋体"/>
          <w:b/>
          <w:bCs/>
          <w:color w:val="auto"/>
          <w:sz w:val="18"/>
          <w:szCs w:val="18"/>
        </w:rPr>
      </w:pPr>
      <w:r>
        <w:rPr>
          <w:rFonts w:hint="eastAsia" w:hAnsi="宋体"/>
          <w:b/>
          <w:bCs/>
          <w:color w:val="auto"/>
          <w:sz w:val="18"/>
          <w:szCs w:val="18"/>
        </w:rPr>
        <w:tab/>
      </w:r>
      <w:r>
        <w:rPr>
          <w:rFonts w:hint="eastAsia" w:hAnsi="宋体"/>
          <w:b/>
          <w:bCs/>
          <w:color w:val="auto"/>
          <w:sz w:val="18"/>
          <w:szCs w:val="18"/>
        </w:rPr>
        <w:t>1.分配方案要点：</w:t>
      </w:r>
    </w:p>
    <w:p>
      <w:pPr>
        <w:pStyle w:val="18"/>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18"/>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18"/>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18"/>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18"/>
        <w:spacing w:line="360" w:lineRule="auto"/>
        <w:ind w:firstLine="360" w:firstLineChars="200"/>
        <w:rPr>
          <w:rFonts w:hAnsi="宋体"/>
          <w:color w:val="auto"/>
          <w:sz w:val="18"/>
          <w:szCs w:val="18"/>
        </w:rPr>
      </w:pPr>
      <w:r>
        <w:rPr>
          <w:rFonts w:hint="eastAsia" w:hAnsi="宋体"/>
          <w:color w:val="auto"/>
          <w:sz w:val="18"/>
          <w:szCs w:val="18"/>
        </w:rPr>
        <w:t>1.理财利益的分配日</w:t>
      </w:r>
    </w:p>
    <w:p>
      <w:pPr>
        <w:pStyle w:val="18"/>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18"/>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18"/>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
      <w:pPr>
        <w:widowControl/>
        <w:spacing w:line="360" w:lineRule="auto"/>
        <w:jc w:val="left"/>
        <w:rPr>
          <w:rFonts w:ascii="宋体" w:hAnsi="宋体"/>
          <w:kern w:val="0"/>
          <w:sz w:val="18"/>
          <w:szCs w:val="18"/>
        </w:rPr>
      </w:pPr>
      <w:r>
        <w:rPr>
          <w:rFonts w:hAnsi="宋体"/>
          <w:sz w:val="18"/>
          <w:szCs w:val="18"/>
        </w:rPr>
        <w:br w:type="page"/>
      </w:r>
    </w:p>
    <w:bookmarkEnd w:id="160"/>
    <w:bookmarkEnd w:id="161"/>
    <w:bookmarkEnd w:id="162"/>
    <w:bookmarkEnd w:id="163"/>
    <w:p>
      <w:pPr>
        <w:pStyle w:val="2"/>
        <w:spacing w:before="0" w:after="0" w:line="360" w:lineRule="auto"/>
        <w:jc w:val="center"/>
        <w:rPr>
          <w:rFonts w:ascii="Times New Roman"/>
          <w:sz w:val="30"/>
        </w:rPr>
      </w:pPr>
      <w:bookmarkStart w:id="164" w:name="_Hlt88825574"/>
      <w:bookmarkEnd w:id="164"/>
      <w:bookmarkStart w:id="165" w:name="_Hlt88897298"/>
      <w:bookmarkEnd w:id="165"/>
      <w:bookmarkStart w:id="166" w:name="_Toc10650"/>
      <w:bookmarkStart w:id="167" w:name="_Toc7058"/>
      <w:bookmarkStart w:id="168" w:name="_Toc141703888"/>
      <w:bookmarkStart w:id="169" w:name="_Toc6447"/>
      <w:bookmarkStart w:id="170" w:name="_Toc123051454"/>
      <w:bookmarkStart w:id="171" w:name="_Toc18567"/>
      <w:bookmarkStart w:id="172" w:name="_Toc92377138"/>
      <w:bookmarkStart w:id="173" w:name="_Toc139991738"/>
      <w:bookmarkStart w:id="174" w:name="_Toc123102455"/>
      <w:bookmarkStart w:id="175" w:name="_Toc98560354"/>
      <w:bookmarkStart w:id="176" w:name="_Toc79392583"/>
      <w:bookmarkStart w:id="177" w:name="_Toc3771"/>
      <w:bookmarkStart w:id="178" w:name="_Toc4559"/>
      <w:bookmarkStart w:id="179" w:name="_Toc25783"/>
      <w:bookmarkStart w:id="180" w:name="_Toc3321"/>
      <w:bookmarkStart w:id="181" w:name="_Toc116984892"/>
      <w:bookmarkStart w:id="182" w:name="_Toc9706"/>
      <w:bookmarkStart w:id="183" w:name="_Toc79154672"/>
      <w:bookmarkStart w:id="184" w:name="_Toc11030"/>
      <w:bookmarkStart w:id="185" w:name="_Toc123112236"/>
      <w:bookmarkStart w:id="186" w:name="_Toc74065745"/>
      <w:r>
        <w:rPr>
          <w:rFonts w:ascii="Times New Roman"/>
          <w:sz w:val="30"/>
        </w:rPr>
        <w:t>第</w:t>
      </w:r>
      <w:r>
        <w:rPr>
          <w:rFonts w:hint="eastAsia" w:ascii="Times New Roman"/>
          <w:sz w:val="30"/>
        </w:rPr>
        <w:t>九条</w:t>
      </w:r>
      <w:r>
        <w:rPr>
          <w:rFonts w:ascii="Times New Roman"/>
          <w:sz w:val="30"/>
        </w:rPr>
        <w:t xml:space="preserve">  </w:t>
      </w:r>
      <w:r>
        <w:rPr>
          <w:rFonts w:hint="eastAsia" w:ascii="Times New Roman"/>
          <w:sz w:val="30"/>
        </w:rPr>
        <w:t>理财产品的费用与税收</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pPr>
        <w:pStyle w:val="18"/>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1）理财产品的认购费、申购费、赎回费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）理财产品的交易费用（包括但不限于证券交易费用、经纪费用等）；</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）理财产品的认购费、申购费、赎回费</w:t>
      </w:r>
    </w:p>
    <w:p>
      <w:pPr>
        <w:widowControl/>
        <w:spacing w:line="360" w:lineRule="auto"/>
        <w:ind w:firstLine="360" w:firstLineChars="200"/>
        <w:jc w:val="left"/>
        <w:rPr>
          <w:rFonts w:ascii="宋体" w:hAnsi="宋体"/>
          <w:sz w:val="18"/>
          <w:szCs w:val="18"/>
        </w:rPr>
      </w:pPr>
      <w:r>
        <w:rPr>
          <w:rFonts w:ascii="宋体" w:hAnsi="宋体"/>
          <w:kern w:val="0"/>
          <w:sz w:val="18"/>
          <w:szCs w:val="18"/>
        </w:rPr>
        <w:t>1）认购费：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r>
        <w:rPr>
          <w:rFonts w:ascii="宋体" w:hAnsi="宋体"/>
          <w:kern w:val="0"/>
          <w:sz w:val="18"/>
          <w:szCs w:val="18"/>
        </w:rPr>
        <w:t>2）申购费：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hint="eastAsia" w:ascii="宋体" w:hAnsi="宋体"/>
          <w:kern w:val="0"/>
          <w:sz w:val="18"/>
          <w:szCs w:val="18"/>
        </w:rPr>
        <w:t>。</w:t>
      </w:r>
    </w:p>
    <w:p>
      <w:pPr>
        <w:widowControl/>
        <w:spacing w:line="360" w:lineRule="auto"/>
        <w:ind w:firstLine="360" w:firstLineChars="200"/>
        <w:jc w:val="left"/>
        <w:rPr>
          <w:rStyle w:val="15"/>
          <w:rFonts w:ascii="宋体" w:hAnsi="宋体"/>
          <w:kern w:val="0"/>
        </w:rPr>
      </w:pPr>
      <w:r>
        <w:rPr>
          <w:rFonts w:ascii="宋体" w:hAnsi="宋体"/>
          <w:kern w:val="0"/>
          <w:sz w:val="18"/>
          <w:szCs w:val="18"/>
        </w:rPr>
        <w:t>3</w:t>
      </w:r>
      <w:r>
        <w:rPr>
          <w:rFonts w:hint="eastAsia" w:ascii="宋体" w:hAnsi="宋体"/>
          <w:kern w:val="0"/>
          <w:sz w:val="18"/>
          <w:szCs w:val="18"/>
        </w:rPr>
        <w:t>）赎回费：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pStyle w:val="18"/>
        <w:spacing w:line="360" w:lineRule="auto"/>
        <w:ind w:firstLine="360" w:firstLineChars="200"/>
        <w:rPr>
          <w:rFonts w:asciiTheme="majorEastAsia" w:hAnsiTheme="majorEastAsia" w:eastAsiaTheme="majorEastAsia"/>
          <w:color w:val="auto"/>
          <w:kern w:val="2"/>
          <w:sz w:val="18"/>
          <w:szCs w:val="18"/>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（4）超额业绩报酬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由此造成超额业绩报酬计提日产品份额净值调整的，以调整后的数值为准进行利益分配。</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业绩报酬计提基准的设置、超额业绩报酬的具体比例数值以《产品说明书》“第二条 理财产品基本情况”为准。</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1）收取超额业绩报酬的原则：</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①按投资者每份产品份额分别计算年化收益率并计提超额业绩报酬；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③在每个投资周期赎回日提取超额业绩报酬的，超额业绩报酬从理财资金中扣除；在产品终止日提取超额业绩报酬的，超额业绩报酬从清算资金中扣除。</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2）超额业绩报酬计提方法</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①超额业绩报酬计提日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每份产品份额超额业绩报酬每日计提，每个投资周期赎回日或产品终止日结算。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②超额业绩报酬的计算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产品管理人对每份产品份额当前年化收益率（R）超过当前业绩报酬计提基准的部分，按比例（N）以及该份产品份额当前投资周期天数（D）提取超额业绩报酬，计算方法如下：</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当R≤当前业绩报酬计提基准，超额业绩报酬=0；</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当R＞当前业绩报酬计提基准，超额业绩报酬=投资者持有的产品份额数量×产品成立日或当前投资周期产品份额申购日的产品份额净值×（R-当前业绩报酬计提基准）×N×D/365。</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18"/>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18"/>
        <w:spacing w:line="360" w:lineRule="auto"/>
        <w:ind w:firstLine="360" w:firstLineChars="200"/>
        <w:rPr>
          <w:rFonts w:ascii="黑体" w:hAnsi="黑体" w:eastAsia="黑体"/>
          <w:color w:val="auto"/>
          <w:sz w:val="18"/>
        </w:rPr>
      </w:pPr>
      <w:r>
        <w:rPr>
          <w:rFonts w:hint="eastAsia" w:ascii="黑体" w:hAnsi="黑体" w:eastAsia="黑体"/>
          <w:color w:val="auto"/>
          <w:sz w:val="18"/>
        </w:rPr>
        <w:t>（1）发生巨额赎回时，为保护投资者利益，产品管理人有权对赎回日至赎回确认日之间的各项费用进行减免。</w:t>
      </w:r>
    </w:p>
    <w:p>
      <w:pPr>
        <w:pStyle w:val="18"/>
        <w:spacing w:line="360" w:lineRule="auto"/>
        <w:ind w:firstLine="360" w:firstLineChars="200"/>
        <w:rPr>
          <w:rFonts w:ascii="黑体" w:hAnsi="黑体" w:eastAsia="黑体"/>
          <w:b/>
          <w:color w:val="auto"/>
          <w:sz w:val="18"/>
        </w:rPr>
      </w:pPr>
      <w:r>
        <w:rPr>
          <w:rFonts w:hint="eastAsia" w:ascii="黑体" w:hAnsi="黑体" w:eastAsia="黑体"/>
          <w:color w:val="auto"/>
          <w:sz w:val="18"/>
        </w:rPr>
        <w:t>（2）产品管理人有权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18"/>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87" w:name="_Toc1745"/>
      <w:bookmarkStart w:id="188" w:name="_Toc3963"/>
      <w:r>
        <w:br w:type="page"/>
      </w:r>
      <w:bookmarkStart w:id="189" w:name="_Toc98560355"/>
      <w:bookmarkStart w:id="190" w:name="_Toc123102456"/>
      <w:bookmarkStart w:id="191" w:name="_Toc3080"/>
      <w:bookmarkStart w:id="192" w:name="_Toc123051455"/>
      <w:bookmarkStart w:id="193" w:name="_Toc123112237"/>
      <w:bookmarkStart w:id="194" w:name="_Toc141703889"/>
      <w:bookmarkStart w:id="195" w:name="_Toc16164"/>
      <w:bookmarkStart w:id="196" w:name="_Toc21735"/>
      <w:bookmarkStart w:id="197" w:name="_Toc18206"/>
      <w:bookmarkStart w:id="198" w:name="_Toc3572"/>
      <w:bookmarkStart w:id="199" w:name="_Toc79154673"/>
      <w:bookmarkStart w:id="200" w:name="_Toc31821"/>
      <w:bookmarkStart w:id="201" w:name="_Toc116984893"/>
      <w:bookmarkStart w:id="202" w:name="_Toc92377139"/>
      <w:bookmarkStart w:id="203" w:name="_Toc74065746"/>
      <w:bookmarkStart w:id="204" w:name="_Toc725"/>
      <w:bookmarkStart w:id="205" w:name="_Toc10398"/>
      <w:bookmarkStart w:id="206" w:name="_Toc139991739"/>
      <w:r>
        <w:rPr>
          <w:rFonts w:hint="eastAsia"/>
          <w:sz w:val="30"/>
        </w:rPr>
        <w:t>第十条</w:t>
      </w:r>
      <w:r>
        <w:rPr>
          <w:sz w:val="30"/>
        </w:rPr>
        <w:t xml:space="preserve">  </w:t>
      </w:r>
      <w:r>
        <w:rPr>
          <w:rFonts w:hint="eastAsia"/>
          <w:sz w:val="30"/>
        </w:rPr>
        <w:t>理财产品的终止与清算</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pPr>
        <w:spacing w:line="360" w:lineRule="auto"/>
        <w:ind w:firstLine="361" w:firstLineChars="200"/>
        <w:rPr>
          <w:rFonts w:asciiTheme="majorEastAsia" w:hAnsiTheme="majorEastAsia" w:eastAsiaTheme="majorEastAsia"/>
          <w:b/>
          <w:bCs/>
          <w:sz w:val="18"/>
          <w:szCs w:val="18"/>
        </w:rPr>
      </w:pPr>
      <w:bookmarkStart w:id="207" w:name="_Toc79392593"/>
      <w:bookmarkStart w:id="208" w:name="_Toc15118245"/>
      <w:bookmarkStart w:id="209" w:name="_Toc57530252"/>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r>
        <w:rPr>
          <w:rFonts w:asciiTheme="majorEastAsia" w:hAnsiTheme="majorEastAsia" w:eastAsiaTheme="majorEastAsia"/>
          <w:bCs/>
          <w:sz w:val="18"/>
          <w:szCs w:val="18"/>
        </w:rPr>
        <w:t xml:space="preserve"> </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产品管理人决定部分提前终止理财产品的，按以下约定处理：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部分提前终止的比例：理财产品将按比例（已变现资产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部分提前终止，同时根据产品最新的理财产品份额净值和份额计算并支付投资者相应的理财利益，投资者所持有的理财份额则按比例注销。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部分提前终止的利益分配：产品管理人将依照销售文件公布部分提前终止日并指定利益分配日（一般为部分提前终止日之后的【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理财产品部分提前终止日（含当日）至理财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实际到账日之间，理财资金不计算</w:t>
      </w:r>
      <w:r>
        <w:rPr>
          <w:rFonts w:asciiTheme="majorEastAsia" w:hAnsiTheme="majorEastAsia" w:eastAsiaTheme="majorEastAsia"/>
          <w:bCs/>
          <w:sz w:val="18"/>
          <w:szCs w:val="18"/>
        </w:rPr>
        <w:t>收益</w:t>
      </w:r>
      <w:r>
        <w:rPr>
          <w:rFonts w:hint="eastAsia" w:asciiTheme="majorEastAsia" w:hAnsiTheme="majorEastAsia" w:eastAsiaTheme="majorEastAsia"/>
          <w:bCs/>
          <w:sz w:val="18"/>
          <w:szCs w:val="18"/>
        </w:rPr>
        <w:t>。</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207"/>
    <w:bookmarkEnd w:id="208"/>
    <w:bookmarkEnd w:id="209"/>
    <w:p>
      <w:pPr>
        <w:pStyle w:val="2"/>
        <w:spacing w:before="0" w:after="0" w:line="360" w:lineRule="auto"/>
        <w:jc w:val="center"/>
        <w:rPr>
          <w:rFonts w:ascii="Times New Roman"/>
          <w:sz w:val="18"/>
          <w:szCs w:val="18"/>
        </w:rPr>
      </w:pPr>
      <w:r>
        <w:rPr>
          <w:rFonts w:ascii="Times New Roman"/>
          <w:b w:val="0"/>
          <w:bCs w:val="0"/>
          <w:kern w:val="2"/>
        </w:rPr>
        <w:br w:type="page"/>
      </w:r>
      <w:bookmarkStart w:id="210" w:name="_Toc92377140"/>
      <w:bookmarkStart w:id="211" w:name="_Toc116984894"/>
      <w:bookmarkStart w:id="212" w:name="_Toc139991740"/>
      <w:bookmarkStart w:id="213" w:name="_Toc5170"/>
      <w:bookmarkStart w:id="214" w:name="_Toc8791"/>
      <w:bookmarkStart w:id="215" w:name="_Toc48649708"/>
      <w:bookmarkStart w:id="216" w:name="_Toc79154674"/>
      <w:bookmarkStart w:id="217" w:name="_Toc123112238"/>
      <w:bookmarkStart w:id="218" w:name="_Toc79392622"/>
      <w:bookmarkStart w:id="219" w:name="_Toc98560356"/>
      <w:bookmarkStart w:id="220" w:name="_Toc74065747"/>
      <w:bookmarkStart w:id="221" w:name="_Toc3329"/>
      <w:bookmarkStart w:id="222" w:name="_Toc739"/>
      <w:bookmarkStart w:id="223" w:name="_Toc83391975"/>
      <w:bookmarkStart w:id="224" w:name="_Toc123102457"/>
      <w:bookmarkStart w:id="225" w:name="_Toc32584"/>
      <w:bookmarkStart w:id="226" w:name="_Toc32092"/>
      <w:bookmarkStart w:id="227" w:name="_Toc29408"/>
      <w:bookmarkStart w:id="228" w:name="_Toc17198"/>
      <w:bookmarkStart w:id="229" w:name="_Toc21237"/>
      <w:bookmarkStart w:id="230" w:name="_Toc141703890"/>
      <w:bookmarkStart w:id="231" w:name="_Toc123051456"/>
      <w:bookmarkStart w:id="232" w:name="_Toc17920"/>
      <w:r>
        <w:rPr>
          <w:rFonts w:hint="eastAsia" w:ascii="Times New Roman"/>
          <w:sz w:val="28"/>
          <w:szCs w:val="28"/>
        </w:rPr>
        <w:t>第十一条</w:t>
      </w:r>
      <w:r>
        <w:rPr>
          <w:rFonts w:ascii="Times New Roman"/>
          <w:sz w:val="28"/>
          <w:szCs w:val="28"/>
        </w:rPr>
        <w:t xml:space="preserve">  </w:t>
      </w:r>
      <w:r>
        <w:rPr>
          <w:rFonts w:hint="eastAsia" w:ascii="Times New Roman"/>
          <w:sz w:val="28"/>
          <w:szCs w:val="28"/>
        </w:rPr>
        <w:t>理财产品的信息披露</w:t>
      </w:r>
      <w:bookmarkEnd w:id="210"/>
      <w:bookmarkEnd w:id="211"/>
    </w:p>
    <w:p>
      <w:pPr>
        <w:spacing w:line="360" w:lineRule="auto"/>
        <w:ind w:firstLine="361" w:firstLineChars="200"/>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firstLineChars="20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firstLineChars="200"/>
        <w:rPr>
          <w:rFonts w:ascii="宋体" w:hAnsi="宋体"/>
          <w:b/>
          <w:bCs/>
          <w:sz w:val="18"/>
          <w:szCs w:val="18"/>
        </w:rPr>
      </w:pPr>
      <w:r>
        <w:rPr>
          <w:rFonts w:hint="eastAsia" w:ascii="宋体" w:hAnsi="宋体"/>
          <w:b/>
          <w:bCs/>
          <w:sz w:val="18"/>
          <w:szCs w:val="18"/>
        </w:rPr>
        <w:t>（二）信息披露的渠道</w:t>
      </w:r>
    </w:p>
    <w:p>
      <w:pPr>
        <w:spacing w:line="360" w:lineRule="auto"/>
        <w:ind w:firstLine="360" w:firstLineChars="20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firstLineChars="20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firstLineChars="20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firstLineChars="20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firstLineChars="200"/>
        <w:rPr>
          <w:rFonts w:ascii="宋体" w:hAnsi="宋体"/>
          <w:b/>
          <w:bCs/>
          <w:sz w:val="18"/>
          <w:szCs w:val="18"/>
        </w:rPr>
      </w:pPr>
      <w:r>
        <w:rPr>
          <w:rFonts w:hint="eastAsia" w:ascii="宋体" w:hAnsi="宋体"/>
          <w:b/>
          <w:bCs/>
          <w:sz w:val="18"/>
          <w:szCs w:val="18"/>
        </w:rPr>
        <w:t>（三）信息披露的内容</w:t>
      </w:r>
    </w:p>
    <w:p>
      <w:pPr>
        <w:spacing w:line="360" w:lineRule="auto"/>
        <w:ind w:firstLine="360" w:firstLineChars="20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firstLineChars="200"/>
        <w:rPr>
          <w:rFonts w:ascii="宋体" w:hAnsi="宋体"/>
          <w:b/>
          <w:bCs/>
          <w:sz w:val="18"/>
          <w:szCs w:val="18"/>
        </w:rPr>
      </w:pPr>
      <w:r>
        <w:rPr>
          <w:rFonts w:hint="eastAsia" w:ascii="宋体" w:hAnsi="宋体"/>
          <w:b/>
          <w:bCs/>
          <w:sz w:val="18"/>
          <w:szCs w:val="18"/>
        </w:rPr>
        <w:t>（四）信息披露的频率和时间</w:t>
      </w:r>
    </w:p>
    <w:p>
      <w:pPr>
        <w:spacing w:line="360" w:lineRule="auto"/>
        <w:ind w:firstLine="360" w:firstLineChars="200"/>
        <w:rPr>
          <w:rFonts w:ascii="宋体" w:hAnsi="宋体"/>
          <w:bCs/>
          <w:sz w:val="18"/>
          <w:szCs w:val="18"/>
        </w:rPr>
      </w:pPr>
      <w:r>
        <w:rPr>
          <w:rFonts w:ascii="宋体" w:hAnsi="宋体"/>
          <w:bCs/>
          <w:sz w:val="18"/>
          <w:szCs w:val="18"/>
        </w:rPr>
        <w:t>1.产品成立公告</w:t>
      </w:r>
    </w:p>
    <w:p>
      <w:pPr>
        <w:spacing w:line="360" w:lineRule="auto"/>
        <w:ind w:firstLine="360" w:firstLineChars="20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firstLineChars="20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firstLineChars="20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firstLineChars="200"/>
        <w:rPr>
          <w:rFonts w:ascii="宋体" w:hAnsi="宋体"/>
          <w:bCs/>
          <w:sz w:val="18"/>
          <w:szCs w:val="18"/>
        </w:rPr>
      </w:pPr>
      <w:r>
        <w:rPr>
          <w:rFonts w:ascii="宋体" w:hAnsi="宋体"/>
          <w:bCs/>
          <w:sz w:val="18"/>
          <w:szCs w:val="18"/>
        </w:rPr>
        <w:t>3.定期报告</w:t>
      </w:r>
    </w:p>
    <w:p>
      <w:pPr>
        <w:spacing w:line="360" w:lineRule="auto"/>
        <w:ind w:firstLine="360" w:firstLineChars="20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firstLineChars="200"/>
        <w:rPr>
          <w:rFonts w:ascii="宋体" w:hAnsi="宋体"/>
          <w:bCs/>
          <w:sz w:val="18"/>
          <w:szCs w:val="18"/>
        </w:rPr>
      </w:pPr>
      <w:r>
        <w:rPr>
          <w:rFonts w:ascii="宋体" w:hAnsi="宋体"/>
          <w:bCs/>
          <w:sz w:val="18"/>
          <w:szCs w:val="18"/>
        </w:rPr>
        <w:t>4.到期公告</w:t>
      </w:r>
    </w:p>
    <w:p>
      <w:pPr>
        <w:spacing w:line="360" w:lineRule="auto"/>
        <w:ind w:firstLine="360" w:firstLineChars="20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firstLineChars="200"/>
        <w:rPr>
          <w:rFonts w:ascii="宋体" w:hAnsi="宋体"/>
          <w:bCs/>
          <w:sz w:val="18"/>
          <w:szCs w:val="18"/>
        </w:rPr>
      </w:pPr>
      <w:r>
        <w:rPr>
          <w:rFonts w:ascii="宋体" w:hAnsi="宋体"/>
          <w:bCs/>
          <w:sz w:val="18"/>
          <w:szCs w:val="18"/>
        </w:rPr>
        <w:t>5.开放日公告</w:t>
      </w:r>
    </w:p>
    <w:p>
      <w:pPr>
        <w:spacing w:line="360" w:lineRule="auto"/>
        <w:ind w:firstLine="360" w:firstLineChars="200"/>
        <w:rPr>
          <w:rFonts w:ascii="宋体" w:hAnsi="宋体"/>
          <w:bCs/>
          <w:sz w:val="18"/>
          <w:szCs w:val="18"/>
        </w:rPr>
      </w:pPr>
      <w:r>
        <w:rPr>
          <w:rFonts w:hint="eastAsia" w:ascii="宋体" w:hAnsi="宋体"/>
          <w:sz w:val="18"/>
          <w:szCs w:val="18"/>
        </w:rPr>
        <w:t>产品管理人</w:t>
      </w:r>
      <w:r>
        <w:rPr>
          <w:rFonts w:hint="eastAsia" w:ascii="宋体" w:hAnsi="宋体"/>
          <w:bCs/>
          <w:sz w:val="18"/>
          <w:szCs w:val="18"/>
        </w:rPr>
        <w:t>在申购日</w:t>
      </w:r>
      <w:r>
        <w:rPr>
          <w:rFonts w:ascii="宋体" w:hAnsi="宋体"/>
          <w:bCs/>
          <w:sz w:val="18"/>
          <w:szCs w:val="18"/>
        </w:rPr>
        <w:t>/赎回日结束后2个工作日内披露开放日公告，公告内容包括申购日/赎回日</w:t>
      </w:r>
      <w:r>
        <w:rPr>
          <w:rFonts w:hint="eastAsia" w:ascii="宋体" w:hAnsi="宋体"/>
          <w:bCs/>
          <w:sz w:val="18"/>
          <w:szCs w:val="18"/>
        </w:rPr>
        <w:t>的产品份额净值、产品份额累计净值等。</w:t>
      </w:r>
    </w:p>
    <w:p>
      <w:pPr>
        <w:spacing w:line="360" w:lineRule="auto"/>
        <w:ind w:firstLine="360" w:firstLineChars="200"/>
        <w:rPr>
          <w:rFonts w:ascii="宋体" w:hAnsi="宋体"/>
          <w:bCs/>
          <w:sz w:val="18"/>
          <w:szCs w:val="18"/>
        </w:rPr>
      </w:pPr>
      <w:r>
        <w:rPr>
          <w:rFonts w:hint="eastAsia" w:ascii="宋体" w:hAnsi="宋体"/>
          <w:bCs/>
          <w:sz w:val="18"/>
          <w:szCs w:val="18"/>
        </w:rPr>
        <w:t>6</w:t>
      </w:r>
      <w:r>
        <w:rPr>
          <w:rFonts w:ascii="宋体" w:hAnsi="宋体"/>
          <w:bCs/>
          <w:sz w:val="18"/>
          <w:szCs w:val="18"/>
        </w:rPr>
        <w:t>.估值日公告</w:t>
      </w:r>
    </w:p>
    <w:p>
      <w:pPr>
        <w:spacing w:line="360" w:lineRule="auto"/>
        <w:ind w:firstLine="360" w:firstLineChars="200"/>
        <w:rPr>
          <w:rFonts w:ascii="宋体" w:hAnsi="宋体"/>
          <w:bCs/>
          <w:sz w:val="18"/>
          <w:szCs w:val="18"/>
        </w:rPr>
      </w:pPr>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r>
        <w:rPr>
          <w:rFonts w:ascii="宋体" w:hAnsi="宋体"/>
          <w:bCs/>
          <w:sz w:val="18"/>
          <w:szCs w:val="18"/>
        </w:rPr>
        <w:t xml:space="preserve"> </w:t>
      </w:r>
    </w:p>
    <w:p>
      <w:pPr>
        <w:spacing w:line="360" w:lineRule="auto"/>
        <w:ind w:firstLine="360" w:firstLineChars="200"/>
        <w:rPr>
          <w:rFonts w:ascii="宋体" w:hAnsi="宋体"/>
          <w:bCs/>
          <w:sz w:val="18"/>
          <w:szCs w:val="18"/>
        </w:rPr>
      </w:pPr>
      <w:r>
        <w:rPr>
          <w:rFonts w:ascii="宋体" w:hAnsi="宋体"/>
          <w:bCs/>
          <w:sz w:val="18"/>
          <w:szCs w:val="18"/>
        </w:rPr>
        <w:t>7.临时公告</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1）</w:t>
      </w:r>
      <w:r>
        <w:rPr>
          <w:rFonts w:hint="eastAsia" w:ascii="黑体" w:hAnsi="黑体" w:eastAsia="黑体"/>
          <w:b/>
          <w:bCs/>
          <w:sz w:val="18"/>
          <w:szCs w:val="18"/>
        </w:rPr>
        <w:t>★产品管理人</w:t>
      </w:r>
      <w:r>
        <w:rPr>
          <w:rFonts w:ascii="黑体" w:hAnsi="黑体" w:eastAsia="黑体"/>
          <w:b/>
          <w:bCs/>
          <w:sz w:val="18"/>
          <w:szCs w:val="18"/>
        </w:rPr>
        <w:t>对</w:t>
      </w:r>
      <w:r>
        <w:rPr>
          <w:rFonts w:hint="eastAsia" w:ascii="黑体" w:hAnsi="黑体" w:eastAsia="黑体"/>
          <w:b/>
          <w:bCs/>
          <w:sz w:val="18"/>
          <w:szCs w:val="18"/>
        </w:rPr>
        <w:t>投资范围、投资资产种类、</w:t>
      </w:r>
      <w:r>
        <w:rPr>
          <w:rFonts w:ascii="黑体" w:hAnsi="黑体" w:eastAsia="黑体"/>
          <w:b/>
          <w:bCs/>
          <w:sz w:val="18"/>
          <w:szCs w:val="18"/>
        </w:rPr>
        <w:t>投资</w:t>
      </w:r>
      <w:r>
        <w:rPr>
          <w:rFonts w:hint="eastAsia" w:ascii="黑体" w:hAnsi="黑体" w:eastAsia="黑体"/>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
          <w:bCs/>
          <w:sz w:val="18"/>
          <w:szCs w:val="18"/>
        </w:rPr>
        <w:t>2个工作日发布变更公告</w:t>
      </w:r>
      <w:r>
        <w:rPr>
          <w:rFonts w:hint="eastAsia" w:ascii="黑体" w:hAnsi="黑体" w:eastAsia="黑体"/>
          <w:b/>
          <w:bCs/>
          <w:sz w:val="18"/>
          <w:szCs w:val="18"/>
        </w:rPr>
        <w:t>。</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特别提示：在一个完整投资周期结束前，管理人将同步更新产品说明书中的业绩比较基准（如有）、业绩报酬计提基准（如有），以明确列示下一个完整投资周期对应的业绩比较基准（如有）、业绩报酬计提基准（如有）。</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w:t>
      </w:r>
      <w:r>
        <w:rPr>
          <w:rFonts w:ascii="宋体" w:hAnsi="宋体"/>
          <w:bCs/>
          <w:sz w:val="18"/>
          <w:szCs w:val="18"/>
        </w:rPr>
        <w:t>/申购</w:t>
      </w:r>
      <w:r>
        <w:rPr>
          <w:rFonts w:hint="eastAsia" w:ascii="宋体" w:hAnsi="宋体"/>
          <w:bCs/>
          <w:sz w:val="18"/>
          <w:szCs w:val="18"/>
        </w:rPr>
        <w:t>申请、暂停接受</w:t>
      </w:r>
      <w:r>
        <w:rPr>
          <w:rFonts w:ascii="宋体" w:hAnsi="宋体"/>
          <w:bCs/>
          <w:sz w:val="18"/>
          <w:szCs w:val="18"/>
        </w:rPr>
        <w:t>投资者</w:t>
      </w:r>
      <w:r>
        <w:rPr>
          <w:rFonts w:hint="eastAsia" w:ascii="宋体" w:hAnsi="宋体"/>
          <w:bCs/>
          <w:sz w:val="18"/>
          <w:szCs w:val="18"/>
        </w:rPr>
        <w:t>赎回申请、延缓支付赎回款项、</w:t>
      </w:r>
      <w:r>
        <w:rPr>
          <w:rFonts w:ascii="宋体" w:hAnsi="宋体"/>
          <w:bCs/>
          <w:sz w:val="18"/>
          <w:szCs w:val="18"/>
        </w:rPr>
        <w:t>巨额赎回</w:t>
      </w:r>
      <w:r>
        <w:rPr>
          <w:rFonts w:hint="eastAsia" w:ascii="宋体" w:hAnsi="宋体"/>
          <w:bCs/>
          <w:sz w:val="18"/>
          <w:szCs w:val="18"/>
        </w:rPr>
        <w:t>、暂停理财产品估值、采用摆动定价</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在发生涉及产品认购、申购或赎回事项调整或潜在影响投资者赎回等事项时，管理人将发布临时公告。</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4）★在本产品存续期内，如因国家法律法规、监管规定发生变化，或是出于维护本产品正常运营的需要，在不损害投资者</w:t>
      </w:r>
      <w:r>
        <w:rPr>
          <w:rFonts w:hint="eastAsia" w:ascii="黑体" w:hAnsi="黑体" w:eastAsia="黑体"/>
          <w:b/>
          <w:bCs/>
          <w:sz w:val="18"/>
          <w:szCs w:val="18"/>
        </w:rPr>
        <w:t>权益</w:t>
      </w:r>
      <w:r>
        <w:rPr>
          <w:rFonts w:ascii="黑体" w:hAnsi="黑体" w:eastAsia="黑体"/>
          <w:b/>
          <w:bCs/>
          <w:sz w:val="18"/>
          <w:szCs w:val="18"/>
        </w:rPr>
        <w:t>的前提下，</w:t>
      </w:r>
      <w:r>
        <w:rPr>
          <w:rFonts w:hint="eastAsia" w:ascii="黑体" w:hAnsi="黑体" w:eastAsia="黑体"/>
          <w:b/>
          <w:bCs/>
          <w:sz w:val="18"/>
          <w:szCs w:val="18"/>
        </w:rPr>
        <w:t>产品管理人</w:t>
      </w:r>
      <w:r>
        <w:rPr>
          <w:rFonts w:ascii="黑体" w:hAnsi="黑体" w:eastAsia="黑体"/>
          <w:b/>
          <w:bCs/>
          <w:sz w:val="18"/>
          <w:szCs w:val="18"/>
        </w:rPr>
        <w:t>有权对</w:t>
      </w:r>
      <w:r>
        <w:rPr>
          <w:rFonts w:hint="eastAsia" w:ascii="黑体" w:hAnsi="黑体" w:eastAsia="黑体"/>
          <w:b/>
          <w:bCs/>
          <w:sz w:val="18"/>
          <w:szCs w:val="18"/>
        </w:rPr>
        <w:t>理财产品销售文件</w:t>
      </w:r>
      <w:r>
        <w:rPr>
          <w:rFonts w:ascii="黑体" w:hAnsi="黑体" w:eastAsia="黑体"/>
          <w:b/>
          <w:bCs/>
          <w:sz w:val="18"/>
          <w:szCs w:val="18"/>
        </w:rPr>
        <w:t>进行修订，并提前2个工作日进行</w:t>
      </w:r>
      <w:r>
        <w:rPr>
          <w:rFonts w:hint="eastAsia" w:ascii="黑体" w:hAnsi="黑体" w:eastAsia="黑体"/>
          <w:b/>
          <w:bCs/>
          <w:sz w:val="18"/>
          <w:szCs w:val="18"/>
        </w:rPr>
        <w:t>公告</w:t>
      </w:r>
      <w:r>
        <w:rPr>
          <w:rFonts w:ascii="黑体" w:hAnsi="黑体" w:eastAsia="黑体"/>
          <w:b/>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firstLineChars="20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
          <w:bCs/>
          <w:sz w:val="18"/>
          <w:szCs w:val="18"/>
        </w:rPr>
        <w:t>并提前2个工作日进行</w:t>
      </w:r>
      <w:r>
        <w:rPr>
          <w:rFonts w:hint="eastAsia" w:ascii="黑体" w:hAnsi="黑体" w:eastAsia="黑体"/>
          <w:b/>
          <w:bCs/>
          <w:sz w:val="18"/>
          <w:szCs w:val="18"/>
        </w:rPr>
        <w:t>公告。若投资者未选择退出本产品的，则视为已理解并接受管理人的相应变更。</w:t>
      </w:r>
    </w:p>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Pr>
        <w:spacing w:line="360" w:lineRule="auto"/>
        <w:rPr>
          <w:bCs/>
          <w:sz w:val="24"/>
        </w:rPr>
      </w:pPr>
      <w:r>
        <w:rPr>
          <w:sz w:val="24"/>
        </w:rPr>
        <w:br w:type="page"/>
      </w:r>
    </w:p>
    <w:p>
      <w:pPr>
        <w:pStyle w:val="2"/>
        <w:spacing w:before="0" w:after="0" w:line="360" w:lineRule="auto"/>
        <w:jc w:val="center"/>
        <w:rPr>
          <w:rFonts w:ascii="Times New Roman"/>
          <w:b w:val="0"/>
          <w:sz w:val="30"/>
        </w:rPr>
      </w:pPr>
      <w:bookmarkStart w:id="233" w:name="_Toc92377141"/>
      <w:bookmarkStart w:id="234" w:name="_Toc79154675"/>
      <w:bookmarkStart w:id="235" w:name="_Toc116984895"/>
      <w:r>
        <w:rPr>
          <w:rFonts w:hint="eastAsia" w:ascii="Times New Roman"/>
          <w:sz w:val="30"/>
        </w:rPr>
        <w:t>第十二条</w:t>
      </w:r>
      <w:r>
        <w:rPr>
          <w:rFonts w:ascii="Times New Roman"/>
          <w:sz w:val="30"/>
        </w:rPr>
        <w:t xml:space="preserve">  </w:t>
      </w:r>
      <w:r>
        <w:rPr>
          <w:rFonts w:hint="eastAsia" w:ascii="Times New Roman"/>
          <w:sz w:val="30"/>
        </w:rPr>
        <w:t>理财产品</w:t>
      </w:r>
      <w:r>
        <w:rPr>
          <w:rFonts w:ascii="Times New Roman"/>
          <w:sz w:val="30"/>
        </w:rPr>
        <w:t>的风险揭示</w:t>
      </w:r>
      <w:bookmarkEnd w:id="233"/>
      <w:bookmarkEnd w:id="234"/>
      <w:bookmarkEnd w:id="235"/>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sz w:val="18"/>
          <w:szCs w:val="18"/>
        </w:rPr>
      </w:pPr>
      <w:r>
        <w:rPr>
          <w:rFonts w:hint="eastAsia" w:ascii="宋体" w:hAnsi="宋体"/>
          <w:sz w:val="18"/>
          <w:szCs w:val="18"/>
        </w:rPr>
        <w:t>1.拟投资市场和资产的风险：</w:t>
      </w:r>
    </w:p>
    <w:p>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sz w:val="18"/>
          <w:szCs w:val="18"/>
        </w:rPr>
      </w:pPr>
      <w:r>
        <w:rPr>
          <w:rFonts w:hint="eastAsia" w:ascii="宋体" w:hAnsi="宋体"/>
          <w:sz w:val="18"/>
          <w:szCs w:val="18"/>
        </w:rPr>
        <w:t>2）投资非标准化债权类资产的风险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spacing w:line="360" w:lineRule="auto"/>
        <w:ind w:firstLine="360" w:firstLineChars="200"/>
        <w:rPr>
          <w:rFonts w:ascii="宋体" w:hAnsi="宋体"/>
          <w:sz w:val="18"/>
          <w:szCs w:val="18"/>
        </w:rPr>
      </w:pPr>
      <w:r>
        <w:rPr>
          <w:rFonts w:hint="eastAsia" w:ascii="宋体" w:hAnsi="宋体"/>
          <w:sz w:val="18"/>
          <w:szCs w:val="18"/>
        </w:rPr>
        <w:t xml:space="preserve">（2）投资商品和金融衍生品类资产的风险 </w:t>
      </w:r>
    </w:p>
    <w:p>
      <w:pPr>
        <w:spacing w:line="360" w:lineRule="auto"/>
        <w:ind w:firstLine="360" w:firstLineChars="200"/>
        <w:rPr>
          <w:rFonts w:ascii="宋体" w:hAnsi="宋体"/>
          <w:sz w:val="18"/>
          <w:szCs w:val="18"/>
        </w:rPr>
      </w:pPr>
      <w:r>
        <w:rPr>
          <w:rFonts w:hint="eastAsia" w:ascii="宋体" w:hAnsi="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pPr>
        <w:pStyle w:val="16"/>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pStyle w:val="18"/>
        <w:spacing w:line="360" w:lineRule="auto"/>
        <w:rPr>
          <w:rFonts w:hAnsi="宋体"/>
          <w:sz w:val="18"/>
          <w:szCs w:val="18"/>
        </w:rPr>
      </w:pPr>
    </w:p>
    <w:p/>
    <w:p>
      <w:pPr>
        <w:sectPr>
          <w:headerReference r:id="rId11" w:type="default"/>
          <w:footerReference r:id="rId12" w:type="default"/>
          <w:pgSz w:w="11906" w:h="16838"/>
          <w:pgMar w:top="1276" w:right="1800" w:bottom="1418" w:left="1800" w:header="567" w:footer="850" w:gutter="0"/>
          <w:pgNumType w:fmt="decimal"/>
          <w:cols w:space="425" w:num="1"/>
          <w:docGrid w:type="lines" w:linePitch="312" w:charSpace="0"/>
        </w:sectPr>
      </w:pPr>
    </w:p>
    <w:p>
      <w:pPr>
        <w:widowControl/>
        <w:spacing w:before="156"/>
        <w:jc w:val="center"/>
        <w:rPr>
          <w:rFonts w:ascii="黑体" w:hAnsi="黑体" w:eastAsia="黑体"/>
          <w:b/>
          <w:sz w:val="28"/>
          <w:szCs w:val="28"/>
        </w:rPr>
      </w:pPr>
      <w:r>
        <w:rPr>
          <w:rFonts w:hint="eastAsia" w:ascii="黑体" w:hAnsi="黑体" w:eastAsia="黑体"/>
          <w:b/>
          <w:sz w:val="28"/>
          <w:szCs w:val="28"/>
        </w:rPr>
        <w:t>兴银理财【天天万利宝稳利净值型】理财产品</w:t>
      </w:r>
    </w:p>
    <w:p>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p>
    <w:p>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b/>
          <w:szCs w:val="21"/>
          <w:u w:val="single"/>
        </w:rPr>
      </w:pPr>
      <w:r>
        <w:rPr>
          <w:rFonts w:hint="eastAsia" w:ascii="宋体" w:hAnsi="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9"/>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7598" w:type="dxa"/>
            <w:gridSpan w:val="6"/>
            <w:shd w:val="pct10" w:color="A5A5A5" w:themeColor="background1" w:themeShade="A6" w:fill="A5A5A5" w:themeFill="background1" w:themeFillShade="A6"/>
            <w:vAlign w:val="center"/>
          </w:tcPr>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个人投资者适用</w:t>
            </w: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姓名</w:t>
            </w:r>
          </w:p>
        </w:tc>
        <w:tc>
          <w:tcPr>
            <w:tcW w:w="5061" w:type="dxa"/>
            <w:gridSpan w:val="3"/>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证件类型</w:t>
            </w:r>
          </w:p>
        </w:tc>
        <w:tc>
          <w:tcPr>
            <w:tcW w:w="1384" w:type="dxa"/>
            <w:shd w:val="solid" w:color="FFFFFF" w:fill="FFFFFF"/>
            <w:vAlign w:val="center"/>
          </w:tcPr>
          <w:p>
            <w:pPr>
              <w:spacing w:line="320" w:lineRule="exact"/>
              <w:jc w:val="left"/>
              <w:rPr>
                <w:rFonts w:ascii="宋体" w:hAnsi="宋体"/>
                <w:b/>
                <w:bCs/>
                <w:sz w:val="18"/>
                <w:szCs w:val="18"/>
              </w:rPr>
            </w:pPr>
          </w:p>
        </w:tc>
        <w:tc>
          <w:tcPr>
            <w:tcW w:w="1234"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证件号码</w:t>
            </w:r>
          </w:p>
        </w:tc>
        <w:tc>
          <w:tcPr>
            <w:tcW w:w="2443" w:type="dxa"/>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联系电话</w:t>
            </w:r>
          </w:p>
        </w:tc>
        <w:tc>
          <w:tcPr>
            <w:tcW w:w="1384" w:type="dxa"/>
            <w:shd w:val="solid" w:color="FFFFFF" w:fill="FFFFFF"/>
            <w:vAlign w:val="center"/>
          </w:tcPr>
          <w:p>
            <w:pPr>
              <w:spacing w:line="320" w:lineRule="exact"/>
              <w:jc w:val="left"/>
              <w:rPr>
                <w:rFonts w:ascii="宋体" w:hAnsi="宋体"/>
                <w:b/>
                <w:bCs/>
                <w:sz w:val="18"/>
                <w:szCs w:val="18"/>
              </w:rPr>
            </w:pPr>
          </w:p>
        </w:tc>
        <w:tc>
          <w:tcPr>
            <w:tcW w:w="1234"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电子邮箱</w:t>
            </w:r>
          </w:p>
        </w:tc>
        <w:tc>
          <w:tcPr>
            <w:tcW w:w="2443" w:type="dxa"/>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联系地址</w:t>
            </w:r>
          </w:p>
        </w:tc>
        <w:tc>
          <w:tcPr>
            <w:tcW w:w="5061" w:type="dxa"/>
            <w:gridSpan w:val="3"/>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w:t>
            </w:r>
            <w:r>
              <w:rPr>
                <w:rFonts w:ascii="宋体" w:hAnsi="宋体"/>
                <w:b/>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b/>
                <w:bCs/>
                <w:sz w:val="18"/>
                <w:szCs w:val="18"/>
              </w:rPr>
            </w:pPr>
            <w:r>
              <w:rPr>
                <w:rFonts w:hint="eastAsia" w:ascii="宋体" w:hAnsi="宋体"/>
                <w:b/>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pStyle w:val="5"/>
              <w:pBdr>
                <w:bottom w:val="none" w:color="auto" w:sz="0" w:space="0"/>
              </w:pBdr>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pPr>
              <w:spacing w:line="320" w:lineRule="exact"/>
              <w:jc w:val="left"/>
              <w:rPr>
                <w:rFonts w:ascii="宋体" w:hAnsi="宋体"/>
                <w:b/>
                <w:bCs/>
                <w:sz w:val="18"/>
                <w:szCs w:val="18"/>
              </w:rPr>
            </w:pPr>
            <w:r>
              <w:rPr>
                <w:rFonts w:hint="eastAsia" w:hAnsi="宋体"/>
                <w:sz w:val="18"/>
                <w:szCs w:val="18"/>
              </w:rPr>
              <w:t>★</w:t>
            </w:r>
            <w:r>
              <w:rPr>
                <w:rFonts w:hint="eastAsia" w:ascii="宋体" w:hAnsi="宋体"/>
                <w:b/>
                <w:bCs/>
                <w:sz w:val="18"/>
                <w:szCs w:val="18"/>
              </w:rPr>
              <w:t>销售性质</w:t>
            </w:r>
          </w:p>
        </w:tc>
        <w:tc>
          <w:tcPr>
            <w:tcW w:w="5061" w:type="dxa"/>
            <w:gridSpan w:val="3"/>
            <w:shd w:val="solid" w:color="FFFFFF" w:fill="FFFFFF"/>
            <w:vAlign w:val="center"/>
          </w:tcPr>
          <w:p>
            <w:pPr>
              <w:spacing w:line="320" w:lineRule="exact"/>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 直销：产品管理人销售</w:t>
            </w:r>
          </w:p>
          <w:p>
            <w:pPr>
              <w:spacing w:line="320" w:lineRule="exact"/>
              <w:jc w:val="left"/>
              <w:rPr>
                <w:rFonts w:ascii="宋体" w:hAnsi="宋体"/>
                <w:bCs/>
                <w:sz w:val="18"/>
                <w:szCs w:val="18"/>
              </w:rPr>
            </w:pPr>
            <w:r>
              <w:rPr>
                <w:rFonts w:hint="eastAsia" w:asciiTheme="majorEastAsia" w:hAnsiTheme="majorEastAsia" w:eastAsiaTheme="majorEastAsia"/>
                <w:bCs/>
                <w:sz w:val="18"/>
                <w:szCs w:val="18"/>
              </w:rPr>
              <w:t>■ 代销：代理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销售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1720" w:type="dxa"/>
            <w:gridSpan w:val="2"/>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机构名称</w:t>
            </w:r>
          </w:p>
        </w:tc>
        <w:tc>
          <w:tcPr>
            <w:tcW w:w="5061" w:type="dxa"/>
            <w:gridSpan w:val="3"/>
            <w:shd w:val="solid" w:color="FFFFFF" w:fill="FFFFFF"/>
            <w:vAlign w:val="center"/>
          </w:tcPr>
          <w:p>
            <w:pPr>
              <w:spacing w:line="320" w:lineRule="exact"/>
              <w:jc w:val="left"/>
              <w:rPr>
                <w:rFonts w:hint="eastAsia" w:ascii="宋体" w:hAnsi="宋体" w:eastAsia="宋体"/>
                <w:bCs/>
                <w:sz w:val="18"/>
                <w:szCs w:val="18"/>
                <w:lang w:eastAsia="zh-CN"/>
              </w:rPr>
            </w:pPr>
            <w:r>
              <w:rPr>
                <w:rFonts w:hint="eastAsia" w:ascii="宋体" w:hAnsi="宋体"/>
                <w:bCs/>
                <w:sz w:val="18"/>
                <w:szCs w:val="18"/>
                <w:lang w:eastAsia="zh-CN"/>
              </w:rPr>
              <w:t>【</w:t>
            </w:r>
            <w:r>
              <w:rPr>
                <w:rFonts w:hint="eastAsia" w:ascii="宋体" w:hAnsi="宋体"/>
                <w:sz w:val="18"/>
                <w:szCs w:val="18"/>
              </w:rPr>
              <w:t>福建</w:t>
            </w:r>
            <w:r>
              <w:rPr>
                <w:rFonts w:hint="eastAsia" w:ascii="宋体" w:hAnsi="宋体"/>
                <w:sz w:val="18"/>
                <w:szCs w:val="18"/>
                <w:lang w:val="en-US" w:eastAsia="zh-CN"/>
              </w:rPr>
              <w:t>海峡银行股份有限公司</w:t>
            </w:r>
            <w:r>
              <w:rPr>
                <w:rFonts w:hint="eastAsia" w:ascii="宋体" w:hAnsi="宋体"/>
                <w:bCs/>
                <w:sz w:val="18"/>
                <w:szCs w:val="18"/>
                <w:lang w:eastAsia="zh-CN"/>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
        </w:tc>
        <w:tc>
          <w:tcPr>
            <w:tcW w:w="1720" w:type="dxa"/>
            <w:gridSpan w:val="2"/>
            <w:tcBorders>
              <w:bottom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机构简介</w:t>
            </w:r>
          </w:p>
        </w:tc>
        <w:tc>
          <w:tcPr>
            <w:tcW w:w="5061" w:type="dxa"/>
            <w:gridSpan w:val="3"/>
            <w:tcBorders>
              <w:bottom w:val="single" w:color="auto" w:sz="12" w:space="0"/>
            </w:tcBorders>
            <w:shd w:val="solid" w:color="FFFFFF" w:fill="FFFFFF"/>
            <w:vAlign w:val="center"/>
          </w:tcPr>
          <w:p>
            <w:pPr>
              <w:pStyle w:val="18"/>
              <w:jc w:val="both"/>
              <w:rPr>
                <w:rFonts w:hint="eastAsia" w:eastAsia="宋体"/>
                <w:lang w:eastAsia="zh-CN"/>
              </w:rPr>
            </w:pPr>
            <w:r>
              <w:rPr>
                <w:rFonts w:hint="eastAsia" w:asciiTheme="majorEastAsia" w:hAnsiTheme="majorEastAsia" w:eastAsiaTheme="majorEastAsia"/>
                <w:bCs/>
                <w:sz w:val="18"/>
                <w:szCs w:val="18"/>
                <w:lang w:eastAsia="zh-CN"/>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shd w:val="solid" w:color="FFFFFF" w:fill="FFFFFF"/>
            <w:vAlign w:val="center"/>
          </w:tcPr>
          <w:p>
            <w:pPr>
              <w:pStyle w:val="5"/>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pPr>
              <w:pStyle w:val="5"/>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r>
              <w:rPr>
                <w:rFonts w:ascii="宋体" w:hAnsi="宋体"/>
                <w:u w:val="single"/>
              </w:rPr>
              <w:t xml:space="preserve">　                     </w:t>
            </w:r>
            <w:r>
              <w:rPr>
                <w:rFonts w:hint="eastAsia" w:ascii="宋体" w:hAnsi="宋体"/>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乙方销售性质</w:t>
      </w:r>
    </w:p>
    <w:p>
      <w:pPr>
        <w:widowControl/>
        <w:spacing w:line="360" w:lineRule="auto"/>
        <w:jc w:val="left"/>
        <w:rPr>
          <w:rFonts w:ascii="黑体" w:hAnsi="黑体" w:eastAsia="黑体" w:cs="仿宋_GB2312"/>
          <w:kern w:val="0"/>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直销适用</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pPr>
        <w:widowControl/>
        <w:spacing w:line="360" w:lineRule="auto"/>
        <w:jc w:val="left"/>
        <w:rPr>
          <w:rFonts w:ascii="黑体" w:hAnsi="黑体" w:eastAsia="黑体" w:cs="仿宋_GB2312"/>
          <w:kern w:val="0"/>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代销适用</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销售机构将理财产品分为【5】个风险等级：【低风险级别（1级）、较低风险级别（2级）、中等风险级别（3级）、较大风险级别（4级）、高风险级别（5级）】；根据投资者在乙方评估的风险承受能力，乙方将投资者风险承受能力分为【5】个等级：【保守型、谨慎型、稳健型、进取型、激进型】。</w:t>
      </w:r>
    </w:p>
    <w:p>
      <w:pPr>
        <w:widowControl/>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pStyle w:val="18"/>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（1）甲方为非机构投资者时，甲方购买乙方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（2）其他类型投资者的风险承受能力评估按销售机构的以下销售政策执行：</w:t>
      </w:r>
    </w:p>
    <w:p>
      <w:pPr>
        <w:widowControl/>
        <w:spacing w:line="360" w:lineRule="auto"/>
        <w:jc w:val="left"/>
        <w:rPr>
          <w:rFonts w:asciiTheme="majorEastAsia" w:hAnsiTheme="majorEastAsia" w:eastAsiaTheme="majorEastAsia"/>
          <w:sz w:val="18"/>
          <w:szCs w:val="18"/>
        </w:rPr>
      </w:pPr>
      <w:r>
        <w:rPr>
          <w:rFonts w:hint="eastAsia" w:asciiTheme="majorEastAsia" w:hAnsiTheme="majorEastAsia" w:eastAsiaTheme="majorEastAsia"/>
          <w:sz w:val="18"/>
          <w:szCs w:val="18"/>
        </w:rPr>
        <w:sym w:font="Wingdings 2" w:char="00A3"/>
      </w:r>
      <w:r>
        <w:rPr>
          <w:rFonts w:hint="eastAsia" w:asciiTheme="majorEastAsia" w:hAnsiTheme="majorEastAsia" w:eastAsiaTheme="majorEastAsia"/>
          <w:sz w:val="18"/>
          <w:szCs w:val="18"/>
        </w:rPr>
        <w:t xml:space="preserve"> 参照本条第（1）款非机构投资者要求执行；</w:t>
      </w:r>
    </w:p>
    <w:p>
      <w:pPr>
        <w:widowControl/>
        <w:spacing w:line="360" w:lineRule="auto"/>
        <w:jc w:val="left"/>
        <w:rPr>
          <w:rFonts w:asciiTheme="majorEastAsia" w:hAnsiTheme="majorEastAsia" w:eastAsiaTheme="majorEastAsia"/>
          <w:sz w:val="18"/>
          <w:szCs w:val="18"/>
        </w:rPr>
      </w:pPr>
      <w:r>
        <w:rPr>
          <w:rFonts w:hint="eastAsia" w:asciiTheme="majorEastAsia" w:hAnsiTheme="majorEastAsia" w:eastAsiaTheme="majorEastAsia"/>
          <w:sz w:val="18"/>
          <w:szCs w:val="18"/>
        </w:rPr>
        <w:sym w:font="Wingdings 2" w:char="00A3"/>
      </w:r>
      <w:r>
        <w:rPr>
          <w:rFonts w:hint="eastAsia" w:asciiTheme="majorEastAsia" w:hAnsiTheme="majorEastAsia" w:eastAsiaTheme="majorEastAsia"/>
          <w:sz w:val="18"/>
          <w:szCs w:val="18"/>
        </w:rPr>
        <w:t xml:space="preserve"> 其他：</w:t>
      </w:r>
      <w:r>
        <w:rPr>
          <w:rFonts w:hint="eastAsia" w:asciiTheme="majorEastAsia" w:hAnsiTheme="majorEastAsia" w:eastAsiaTheme="majorEastAsia"/>
          <w:sz w:val="18"/>
          <w:szCs w:val="18"/>
          <w:u w:val="single"/>
        </w:rPr>
        <w:t xml:space="preserve">                               。</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w:t>
      </w:r>
      <w:r>
        <w:rPr>
          <w:rFonts w:hint="eastAsia" w:ascii="宋体" w:hAnsi="宋体"/>
          <w:sz w:val="18"/>
          <w:szCs w:val="18"/>
        </w:rPr>
        <w:t>有权处分的合法资金</w:t>
      </w:r>
      <w:r>
        <w:rPr>
          <w:rFonts w:hint="eastAsia" w:ascii="宋体" w:hAnsi="宋体" w:cs="仿宋_GB2312"/>
          <w:kern w:val="0"/>
          <w:sz w:val="18"/>
          <w:szCs w:val="18"/>
        </w:rPr>
        <w:t>，不存在使用贷款、发行债券等筹集的非自有资金投资的情况，投资行为符合法律法规及相关监管部门的规定。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9、甲方在此同意并授权乙方有权根据甲方</w:t>
      </w:r>
      <w:r>
        <w:rPr>
          <w:rFonts w:hint="eastAsia" w:ascii="黑体" w:hAnsi="黑体" w:eastAsia="黑体" w:cs="仿宋_GB2312"/>
          <w:kern w:val="0"/>
          <w:sz w:val="18"/>
          <w:szCs w:val="18"/>
        </w:rPr>
        <w:t>所勾选的业务申请类型对甲方相关资金账户进行资金划扣等相关操作。</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10、对于甲方通过乙方的网上银行、手机银行、可视柜台等线</w:t>
      </w:r>
      <w:r>
        <w:rPr>
          <w:rFonts w:hint="eastAsia" w:ascii="黑体" w:hAnsi="黑体" w:eastAsia="黑体" w:cs="仿宋_GB2312"/>
          <w:kern w:val="0"/>
          <w:sz w:val="18"/>
          <w:szCs w:val="18"/>
        </w:rPr>
        <w:t>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11、甲方在此确认乙方业务申请和办理</w:t>
      </w:r>
      <w:r>
        <w:rPr>
          <w:rFonts w:hint="eastAsia" w:ascii="黑体" w:hAnsi="黑体" w:eastAsia="黑体" w:cs="仿宋_GB2312"/>
          <w:kern w:val="0"/>
          <w:sz w:val="18"/>
          <w:szCs w:val="18"/>
        </w:rPr>
        <w:t>的系统记录以及录音、录像等</w:t>
      </w:r>
      <w:r>
        <w:rPr>
          <w:rFonts w:ascii="黑体" w:hAnsi="黑体" w:eastAsia="黑体" w:cs="仿宋_GB2312"/>
          <w:kern w:val="0"/>
          <w:sz w:val="18"/>
          <w:szCs w:val="18"/>
        </w:rPr>
        <w:t>信息</w:t>
      </w:r>
      <w:r>
        <w:rPr>
          <w:rFonts w:hint="eastAsia" w:ascii="黑体" w:hAnsi="黑体" w:eastAsia="黑体" w:cs="仿宋_GB2312"/>
          <w:kern w:val="0"/>
          <w:sz w:val="18"/>
          <w:szCs w:val="18"/>
        </w:rPr>
        <w:t>构成对甲方操作行为（包括但不限于认购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、赎回）的终局证据，甲方同意乙方上述记录行为，并且在甲方和乙方或产品</w:t>
      </w:r>
      <w:r>
        <w:rPr>
          <w:rFonts w:ascii="黑体" w:hAnsi="黑体" w:eastAsia="黑体" w:cs="仿宋_GB2312"/>
          <w:kern w:val="0"/>
          <w:sz w:val="18"/>
          <w:szCs w:val="18"/>
        </w:rPr>
        <w:t>管理人</w:t>
      </w:r>
      <w:r>
        <w:rPr>
          <w:rFonts w:hint="eastAsia" w:ascii="黑体" w:hAnsi="黑体" w:eastAsia="黑体" w:cs="仿宋_GB2312"/>
          <w:kern w:val="0"/>
          <w:sz w:val="18"/>
          <w:szCs w:val="18"/>
        </w:rPr>
        <w:t>发生争议时可以作为合法有效的证据使用。甲方同意并授权乙方采取有效措施和技术手段记录营销推介、产品风险和关键信息提示、投资者确认和反馈等重点销售环节。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1、由于国家有关法律、法规、规章、政策的改变、紧急措施的出台而导致甲方蒙受损失或协议终止的，乙方不承担责任。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2、由于不可抗力或乙方无过错且无法防止的外因而导致的交易中断、延误等风险及损失，乙方不承担责任。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3、非因乙方原因（包括但不限于甲方遗失本协议、协议被盗用、交易账户被司法机关等有权部门冻结、扣划等原因）造成的损失，乙方不承担责任。</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1、本协议在履行过程中发生的争议，由甲乙双方协商解决，协商不成的，任何一方可向乙方住所地</w:t>
      </w:r>
      <w:r>
        <w:rPr>
          <w:rFonts w:hint="eastAsia" w:ascii="黑体" w:hAnsi="黑体" w:eastAsia="黑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b/>
          <w:kern w:val="0"/>
          <w:sz w:val="18"/>
          <w:szCs w:val="18"/>
        </w:rPr>
      </w:pP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甲方声明：</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w:t>
      </w:r>
      <w:r>
        <w:rPr>
          <w:rFonts w:ascii="宋体" w:hAnsi="宋体" w:cs="仿宋_GB2312"/>
          <w:b/>
          <w:kern w:val="0"/>
          <w:sz w:val="18"/>
          <w:szCs w:val="18"/>
        </w:rPr>
        <w:t>1)甲方已经收到所购买乙方销售的理财产品的《投资协议书</w:t>
      </w:r>
      <w:r>
        <w:rPr>
          <w:rFonts w:hint="eastAsia" w:ascii="宋体" w:hAnsi="宋体" w:cs="仿宋_GB2312"/>
          <w:b/>
          <w:kern w:val="0"/>
          <w:sz w:val="18"/>
          <w:szCs w:val="18"/>
        </w:rPr>
        <w:t>》、</w:t>
      </w:r>
      <w:r>
        <w:rPr>
          <w:rFonts w:ascii="宋体" w:hAnsi="宋体" w:cs="仿宋_GB2312"/>
          <w:b/>
          <w:kern w:val="0"/>
          <w:sz w:val="18"/>
          <w:szCs w:val="18"/>
        </w:rPr>
        <w:t>《</w:t>
      </w:r>
      <w:r>
        <w:rPr>
          <w:rFonts w:hint="eastAsia" w:ascii="宋体" w:hAnsi="宋体" w:cs="仿宋_GB2312"/>
          <w:b/>
          <w:kern w:val="0"/>
          <w:sz w:val="18"/>
          <w:szCs w:val="18"/>
        </w:rPr>
        <w:t>产品说明书</w:t>
      </w:r>
      <w:r>
        <w:rPr>
          <w:rFonts w:ascii="宋体" w:hAnsi="宋体" w:cs="仿宋_GB2312"/>
          <w:b/>
          <w:kern w:val="0"/>
          <w:sz w:val="18"/>
          <w:szCs w:val="18"/>
        </w:rPr>
        <w:t>》</w:t>
      </w:r>
      <w:r>
        <w:rPr>
          <w:rFonts w:hint="eastAsia" w:ascii="宋体" w:hAnsi="宋体" w:cs="仿宋_GB2312"/>
          <w:b/>
          <w:kern w:val="0"/>
          <w:sz w:val="18"/>
          <w:szCs w:val="18"/>
        </w:rPr>
        <w:t>、</w:t>
      </w:r>
      <w:r>
        <w:rPr>
          <w:rFonts w:ascii="宋体" w:hAnsi="宋体" w:cs="仿宋_GB2312"/>
          <w:b/>
          <w:kern w:val="0"/>
          <w:sz w:val="18"/>
          <w:szCs w:val="18"/>
        </w:rPr>
        <w:t>《</w:t>
      </w:r>
      <w:r>
        <w:rPr>
          <w:rFonts w:hint="eastAsia" w:ascii="宋体" w:hAnsi="宋体" w:cs="仿宋_GB2312"/>
          <w:b/>
          <w:kern w:val="0"/>
          <w:sz w:val="18"/>
          <w:szCs w:val="18"/>
        </w:rPr>
        <w:t>（代理）销售协议书</w:t>
      </w:r>
      <w:r>
        <w:rPr>
          <w:rFonts w:ascii="宋体" w:hAnsi="宋体" w:cs="仿宋_GB2312"/>
          <w:b/>
          <w:kern w:val="0"/>
          <w:sz w:val="18"/>
          <w:szCs w:val="18"/>
        </w:rPr>
        <w:t>》</w:t>
      </w:r>
      <w:r>
        <w:rPr>
          <w:rFonts w:hint="eastAsia" w:ascii="宋体" w:hAnsi="宋体" w:cs="仿宋_GB2312"/>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hint="eastAsia" w:ascii="宋体" w:hAnsi="宋体" w:cs="仿宋_GB2312"/>
          <w:b/>
          <w:kern w:val="0"/>
          <w:sz w:val="18"/>
          <w:szCs w:val="18"/>
        </w:rPr>
        <w:t>、赎回理财产品所产生的相关风险和不利后果。</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10"/>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3"/>
            <w:vAlign w:val="center"/>
          </w:tcPr>
          <w:p>
            <w:pPr>
              <w:autoSpaceDE w:val="0"/>
              <w:autoSpaceDN w:val="0"/>
              <w:adjustRightInd w:val="0"/>
              <w:snapToGrid w:val="0"/>
              <w:spacing w:line="280" w:lineRule="exact"/>
              <w:jc w:val="center"/>
              <w:rPr>
                <w:rFonts w:ascii="宋体" w:hAnsi="宋体"/>
                <w:b/>
                <w:kern w:val="0"/>
                <w:sz w:val="18"/>
                <w:szCs w:val="18"/>
              </w:rPr>
            </w:pPr>
            <w:r>
              <w:rPr>
                <w:rFonts w:hint="eastAsia" w:ascii="宋体" w:hAnsi="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280" w:lineRule="exact"/>
              <w:jc w:val="center"/>
              <w:rPr>
                <w:rFonts w:ascii="黑体" w:hAnsi="黑体" w:eastAsia="黑体"/>
                <w:kern w:val="0"/>
                <w:sz w:val="18"/>
                <w:szCs w:val="18"/>
              </w:rPr>
            </w:pPr>
            <w:r>
              <w:rPr>
                <w:rFonts w:hint="eastAsia" w:ascii="黑体" w:hAnsi="黑体" w:eastAsia="黑体"/>
                <w:kern w:val="0"/>
                <w:sz w:val="18"/>
                <w:szCs w:val="18"/>
              </w:rPr>
              <w:t>★</w:t>
            </w:r>
          </w:p>
          <w:p>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pPr>
              <w:tabs>
                <w:tab w:val="left" w:pos="8070"/>
                <w:tab w:val="right" w:pos="8306"/>
              </w:tabs>
              <w:autoSpaceDE w:val="0"/>
              <w:autoSpaceDN w:val="0"/>
              <w:adjustRightInd w:val="0"/>
              <w:snapToGrid w:val="0"/>
              <w:spacing w:line="280" w:lineRule="exact"/>
              <w:rPr>
                <w:rFonts w:ascii="黑体" w:hAnsi="黑体" w:eastAsia="黑体"/>
                <w:kern w:val="0"/>
                <w:sz w:val="18"/>
                <w:szCs w:val="18"/>
              </w:rPr>
            </w:pPr>
            <w:r>
              <w:rPr>
                <w:rFonts w:ascii="黑体" w:hAnsi="黑体" w:eastAsia="黑体"/>
                <w:kern w:val="0"/>
                <w:sz w:val="18"/>
                <w:szCs w:val="18"/>
              </w:rPr>
              <w:t>1、在签署本《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14" w:hRule="exact"/>
        </w:trPr>
        <w:tc>
          <w:tcPr>
            <w:tcW w:w="675" w:type="dxa"/>
            <w:vMerge w:val="restart"/>
            <w:vAlign w:val="center"/>
          </w:tcPr>
          <w:p>
            <w:pPr>
              <w:jc w:val="center"/>
              <w:rPr>
                <w:b/>
                <w:kern w:val="0"/>
                <w:sz w:val="18"/>
                <w:szCs w:val="18"/>
              </w:rPr>
            </w:pPr>
            <w:r>
              <w:rPr>
                <w:rFonts w:hint="eastAsia"/>
                <w:b/>
                <w:kern w:val="0"/>
                <w:sz w:val="18"/>
                <w:szCs w:val="18"/>
              </w:rPr>
              <w:t>甲方签署栏</w:t>
            </w:r>
          </w:p>
        </w:tc>
        <w:tc>
          <w:tcPr>
            <w:tcW w:w="851" w:type="dxa"/>
          </w:tcPr>
          <w:p>
            <w:pPr>
              <w:rPr>
                <w:b/>
                <w:kern w:val="0"/>
                <w:sz w:val="18"/>
                <w:szCs w:val="18"/>
              </w:rPr>
            </w:pPr>
            <w:r>
              <w:rPr>
                <w:rFonts w:hint="eastAsia"/>
                <w:b/>
                <w:kern w:val="0"/>
                <w:sz w:val="18"/>
                <w:szCs w:val="18"/>
              </w:rPr>
              <w:t>个人投资者适用</w:t>
            </w:r>
          </w:p>
        </w:tc>
        <w:tc>
          <w:tcPr>
            <w:tcW w:w="6998" w:type="dxa"/>
          </w:tcPr>
          <w:p>
            <w:pPr>
              <w:rPr>
                <w:kern w:val="0"/>
                <w:sz w:val="18"/>
                <w:szCs w:val="18"/>
              </w:rPr>
            </w:pPr>
            <w:r>
              <w:rPr>
                <w:rFonts w:hint="eastAsia"/>
                <w:kern w:val="0"/>
                <w:sz w:val="18"/>
                <w:szCs w:val="18"/>
              </w:rPr>
              <w:t>甲方（签字）：</w:t>
            </w:r>
          </w:p>
          <w:p>
            <w:pPr>
              <w:rPr>
                <w:b/>
                <w:kern w:val="0"/>
                <w:sz w:val="18"/>
                <w:szCs w:val="18"/>
              </w:rPr>
            </w:pPr>
          </w:p>
          <w:p>
            <w:pPr>
              <w:rPr>
                <w:b/>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pPr>
              <w:rPr>
                <w:b/>
                <w:kern w:val="0"/>
                <w:sz w:val="18"/>
                <w:szCs w:val="18"/>
              </w:rPr>
            </w:pPr>
          </w:p>
        </w:tc>
        <w:tc>
          <w:tcPr>
            <w:tcW w:w="851" w:type="dxa"/>
          </w:tcPr>
          <w:p>
            <w:pPr>
              <w:rPr>
                <w:b/>
                <w:kern w:val="0"/>
                <w:sz w:val="18"/>
                <w:szCs w:val="18"/>
              </w:rPr>
            </w:pPr>
            <w:r>
              <w:rPr>
                <w:rFonts w:hint="eastAsia"/>
                <w:b/>
                <w:kern w:val="0"/>
                <w:sz w:val="18"/>
                <w:szCs w:val="18"/>
              </w:rPr>
              <w:t>机构投资者适用</w:t>
            </w:r>
          </w:p>
        </w:tc>
        <w:tc>
          <w:tcPr>
            <w:tcW w:w="6998" w:type="dxa"/>
          </w:tcPr>
          <w:p>
            <w:pPr>
              <w:rPr>
                <w:rFonts w:cs="Arial"/>
                <w:kern w:val="0"/>
                <w:sz w:val="18"/>
                <w:szCs w:val="18"/>
              </w:rPr>
            </w:pPr>
            <w:r>
              <w:rPr>
                <w:rFonts w:hint="eastAsia"/>
                <w:kern w:val="0"/>
                <w:sz w:val="18"/>
                <w:szCs w:val="18"/>
              </w:rPr>
              <w:t>甲方</w:t>
            </w:r>
            <w:r>
              <w:rPr>
                <w:rFonts w:hint="eastAsia" w:cs="Arial"/>
                <w:kern w:val="0"/>
                <w:sz w:val="18"/>
                <w:szCs w:val="18"/>
              </w:rPr>
              <w:t>（盖章）：</w:t>
            </w:r>
          </w:p>
          <w:p>
            <w:pPr>
              <w:rPr>
                <w:rFonts w:cs="Arial"/>
                <w:kern w:val="0"/>
                <w:sz w:val="18"/>
                <w:szCs w:val="18"/>
              </w:rPr>
            </w:pPr>
          </w:p>
          <w:p>
            <w:pPr>
              <w:rPr>
                <w:rFonts w:cs="Arial"/>
                <w:kern w:val="0"/>
                <w:sz w:val="18"/>
                <w:szCs w:val="18"/>
              </w:rPr>
            </w:pPr>
            <w:r>
              <w:rPr>
                <w:rFonts w:hint="eastAsia" w:cs="Arial"/>
                <w:kern w:val="0"/>
                <w:sz w:val="18"/>
                <w:szCs w:val="18"/>
              </w:rPr>
              <w:t>甲方法定代表人或授权代理人（签字或盖章）：</w:t>
            </w:r>
          </w:p>
          <w:p>
            <w:pPr>
              <w:rPr>
                <w:b/>
                <w:kern w:val="0"/>
                <w:sz w:val="18"/>
                <w:szCs w:val="18"/>
              </w:rPr>
            </w:pPr>
          </w:p>
          <w:p>
            <w:pPr>
              <w:rPr>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tcPr>
          <w:p>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pPr>
              <w:rPr>
                <w:b/>
                <w:kern w:val="0"/>
                <w:sz w:val="18"/>
                <w:szCs w:val="18"/>
              </w:rPr>
            </w:pPr>
          </w:p>
          <w:p>
            <w:pPr>
              <w:rPr>
                <w:kern w:val="0"/>
                <w:sz w:val="18"/>
                <w:szCs w:val="18"/>
              </w:rPr>
            </w:pPr>
            <w:r>
              <w:rPr>
                <w:rFonts w:hint="eastAsia"/>
                <w:kern w:val="0"/>
                <w:sz w:val="18"/>
                <w:szCs w:val="18"/>
              </w:rPr>
              <w:t>日期：</w:t>
            </w:r>
          </w:p>
        </w:tc>
      </w:tr>
    </w:tbl>
    <w:p>
      <w:pPr>
        <w:spacing w:line="360" w:lineRule="auto"/>
        <w:jc w:val="left"/>
        <w:rPr>
          <w:rFonts w:ascii="宋体" w:hAnsi="宋体"/>
          <w:b/>
          <w:sz w:val="18"/>
          <w:szCs w:val="18"/>
        </w:rPr>
      </w:pPr>
      <w:r>
        <w:rPr>
          <w:rFonts w:hint="eastAsia" w:ascii="宋体" w:hAnsi="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
    <w:p/>
    <w:p/>
    <w:p/>
    <w:p>
      <w:pPr>
        <w:sectPr>
          <w:headerReference r:id="rId13" w:type="default"/>
          <w:footerReference r:id="rId14" w:type="default"/>
          <w:pgSz w:w="11906" w:h="16838"/>
          <w:pgMar w:top="1440" w:right="1800" w:bottom="1440" w:left="1800" w:header="567" w:footer="964" w:gutter="0"/>
          <w:pgNumType w:fmt="decimal"/>
          <w:cols w:space="425" w:num="1"/>
          <w:docGrid w:type="lines" w:linePitch="312" w:charSpace="0"/>
        </w:sectPr>
      </w:pPr>
    </w:p>
    <w:p>
      <w:pPr>
        <w:adjustRightInd w:val="0"/>
        <w:spacing w:line="276" w:lineRule="auto"/>
        <w:ind w:firstLine="422"/>
        <w:jc w:val="center"/>
        <w:rPr>
          <w:rFonts w:ascii="黑体" w:hAnsi="黑体" w:eastAsia="黑体"/>
          <w:b/>
          <w:bCs/>
          <w:sz w:val="28"/>
          <w:szCs w:val="28"/>
        </w:rPr>
      </w:pPr>
      <w:r>
        <w:rPr>
          <w:rFonts w:hint="eastAsia" w:ascii="黑体" w:hAnsi="黑体" w:eastAsia="黑体"/>
          <w:b/>
          <w:bCs/>
          <w:sz w:val="28"/>
          <w:szCs w:val="28"/>
        </w:rPr>
        <w:t>兴银理财【</w:t>
      </w:r>
      <w:r>
        <w:rPr>
          <w:rFonts w:hint="eastAsia" w:ascii="黑体" w:hAnsi="黑体" w:eastAsia="黑体"/>
          <w:b/>
          <w:sz w:val="28"/>
          <w:szCs w:val="28"/>
        </w:rPr>
        <w:t>天天万利宝稳利净值型</w:t>
      </w:r>
      <w:r>
        <w:rPr>
          <w:rFonts w:hint="eastAsia" w:ascii="黑体" w:hAnsi="黑体" w:eastAsia="黑体"/>
          <w:b/>
          <w:bCs/>
          <w:sz w:val="28"/>
          <w:szCs w:val="28"/>
        </w:rPr>
        <w:t>】</w:t>
      </w:r>
      <w:r>
        <w:rPr>
          <w:rFonts w:ascii="黑体" w:hAnsi="黑体" w:eastAsia="黑体"/>
          <w:b/>
          <w:bCs/>
          <w:sz w:val="28"/>
          <w:szCs w:val="28"/>
        </w:rPr>
        <w:t>理财产品</w:t>
      </w:r>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w:t>
      </w:r>
      <w:r>
        <w:rPr>
          <w:rFonts w:ascii="宋体" w:hAnsi="宋体" w:cs="仿宋_GB2312"/>
          <w:kern w:val="0"/>
          <w:sz w:val="18"/>
          <w:szCs w:val="18"/>
        </w:rPr>
        <w:t>销售名称及产品登记编码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r>
        <w:rPr>
          <w:rFonts w:hint="eastAsia" w:ascii="宋体" w:hAnsi="宋体" w:cs="仿宋_GB2312"/>
          <w:kern w:val="0"/>
          <w:sz w:val="18"/>
          <w:szCs w:val="18"/>
        </w:rPr>
        <w:t>【兴业银行天天万利宝稳利2号净值型理财产品</w:t>
      </w:r>
      <w:r>
        <w:rPr>
          <w:rFonts w:ascii="宋体" w:hAnsi="宋体" w:cs="仿宋_GB2312"/>
          <w:kern w:val="0"/>
          <w:sz w:val="18"/>
          <w:szCs w:val="18"/>
        </w:rPr>
        <w:t>G</w:t>
      </w:r>
      <w:r>
        <w:rPr>
          <w:rFonts w:hint="eastAsia" w:ascii="宋体" w:hAnsi="宋体" w:cs="仿宋_GB2312"/>
          <w:kern w:val="0"/>
          <w:sz w:val="18"/>
          <w:szCs w:val="18"/>
        </w:rPr>
        <w:t>款】</w:t>
      </w:r>
    </w:p>
    <w:p>
      <w:pPr>
        <w:ind w:firstLine="448" w:firstLineChars="249"/>
        <w:rPr>
          <w:rFonts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r>
        <w:rPr>
          <w:rFonts w:hint="eastAsia" w:ascii="宋体" w:hAnsi="宋体" w:cs="仿宋_GB2312"/>
          <w:kern w:val="0"/>
          <w:sz w:val="18"/>
          <w:szCs w:val="18"/>
        </w:rPr>
        <w:t>【稳利恒盈</w:t>
      </w:r>
      <w:r>
        <w:rPr>
          <w:rFonts w:ascii="宋体" w:hAnsi="宋体" w:cs="仿宋_GB2312"/>
          <w:kern w:val="0"/>
          <w:sz w:val="18"/>
          <w:szCs w:val="18"/>
        </w:rPr>
        <w:t>G</w:t>
      </w:r>
      <w:r>
        <w:rPr>
          <w:rFonts w:hint="eastAsia" w:ascii="宋体" w:hAnsi="宋体" w:cs="仿宋_GB2312"/>
          <w:kern w:val="0"/>
          <w:sz w:val="18"/>
          <w:szCs w:val="18"/>
        </w:rPr>
        <w:t xml:space="preserve"> 6个月】（适用【A】类份额）；</w:t>
      </w:r>
    </w:p>
    <w:p>
      <w:pPr>
        <w:ind w:firstLine="448" w:firstLineChars="249"/>
        <w:rPr>
          <w:rFonts w:ascii="宋体" w:hAnsi="宋体" w:cs="仿宋_GB2312"/>
          <w:kern w:val="0"/>
          <w:sz w:val="18"/>
          <w:szCs w:val="18"/>
        </w:rPr>
      </w:pPr>
      <w:r>
        <w:rPr>
          <w:rFonts w:hint="eastAsia" w:ascii="宋体" w:hAnsi="宋体" w:cs="仿宋_GB2312"/>
          <w:kern w:val="0"/>
          <w:sz w:val="18"/>
          <w:szCs w:val="18"/>
        </w:rPr>
        <w:t>【稳利恒盈</w:t>
      </w:r>
      <w:r>
        <w:rPr>
          <w:rFonts w:ascii="宋体" w:hAnsi="宋体" w:cs="仿宋_GB2312"/>
          <w:kern w:val="0"/>
          <w:sz w:val="18"/>
          <w:szCs w:val="18"/>
        </w:rPr>
        <w:t>G</w:t>
      </w:r>
      <w:r>
        <w:rPr>
          <w:rFonts w:hint="eastAsia" w:ascii="宋体" w:hAnsi="宋体" w:cs="仿宋_GB2312"/>
          <w:kern w:val="0"/>
          <w:sz w:val="18"/>
          <w:szCs w:val="18"/>
        </w:rPr>
        <w:t xml:space="preserve"> 6个月B】（适用【B】类份额）</w:t>
      </w:r>
    </w:p>
    <w:p>
      <w:pPr>
        <w:ind w:firstLine="448" w:firstLineChars="249"/>
        <w:rPr>
          <w:rFonts w:ascii="宋体" w:hAnsi="宋体" w:cs="仿宋_GB2312"/>
          <w:kern w:val="0"/>
          <w:sz w:val="18"/>
          <w:szCs w:val="18"/>
        </w:rPr>
      </w:pPr>
      <w:r>
        <w:rPr>
          <w:rFonts w:hint="eastAsia" w:ascii="宋体" w:hAnsi="宋体" w:cs="仿宋_GB2312"/>
          <w:kern w:val="0"/>
          <w:sz w:val="18"/>
          <w:szCs w:val="18"/>
        </w:rPr>
        <w:t>【稳利恒盈</w:t>
      </w:r>
      <w:r>
        <w:rPr>
          <w:rFonts w:ascii="宋体" w:hAnsi="宋体" w:cs="仿宋_GB2312"/>
          <w:kern w:val="0"/>
          <w:sz w:val="18"/>
          <w:szCs w:val="18"/>
        </w:rPr>
        <w:t>G</w:t>
      </w:r>
      <w:r>
        <w:rPr>
          <w:rFonts w:hint="eastAsia" w:ascii="宋体" w:hAnsi="宋体" w:cs="仿宋_GB2312"/>
          <w:kern w:val="0"/>
          <w:sz w:val="18"/>
          <w:szCs w:val="18"/>
        </w:rPr>
        <w:t xml:space="preserve"> 6个月</w:t>
      </w:r>
      <w:r>
        <w:rPr>
          <w:rFonts w:ascii="宋体" w:hAnsi="宋体" w:cs="仿宋_GB2312"/>
          <w:kern w:val="0"/>
          <w:sz w:val="18"/>
          <w:szCs w:val="18"/>
        </w:rPr>
        <w:t>（</w:t>
      </w:r>
      <w:r>
        <w:rPr>
          <w:rFonts w:hint="eastAsia" w:ascii="宋体" w:hAnsi="宋体" w:cs="仿宋_GB2312"/>
          <w:kern w:val="0"/>
          <w:sz w:val="18"/>
          <w:szCs w:val="18"/>
        </w:rPr>
        <w:t>惠享款）】（适用【</w:t>
      </w:r>
      <w:r>
        <w:rPr>
          <w:rFonts w:ascii="宋体" w:hAnsi="宋体" w:cs="仿宋_GB2312"/>
          <w:kern w:val="0"/>
          <w:sz w:val="18"/>
          <w:szCs w:val="18"/>
        </w:rPr>
        <w:t>C</w:t>
      </w:r>
      <w:r>
        <w:rPr>
          <w:rFonts w:hint="eastAsia" w:ascii="宋体" w:hAnsi="宋体" w:cs="仿宋_GB2312"/>
          <w:kern w:val="0"/>
          <w:sz w:val="18"/>
          <w:szCs w:val="18"/>
        </w:rPr>
        <w:t>】类份额）</w:t>
      </w:r>
    </w:p>
    <w:p>
      <w:pPr>
        <w:ind w:firstLine="448" w:firstLineChars="249"/>
        <w:rPr>
          <w:rFonts w:ascii="宋体" w:hAnsi="宋体" w:cs="仿宋_GB2312"/>
          <w:kern w:val="0"/>
          <w:sz w:val="18"/>
          <w:szCs w:val="18"/>
        </w:rPr>
      </w:pPr>
    </w:p>
    <w:p>
      <w:pPr>
        <w:ind w:firstLine="448" w:firstLineChars="249"/>
        <w:rPr>
          <w:rFonts w:ascii="宋体" w:hAnsi="宋体" w:cs="仿宋_GB2312"/>
          <w:kern w:val="0"/>
          <w:sz w:val="18"/>
          <w:szCs w:val="18"/>
        </w:rPr>
      </w:pPr>
      <w:r>
        <w:rPr>
          <w:rFonts w:ascii="宋体" w:hAnsi="宋体" w:cs="仿宋_GB2312"/>
          <w:kern w:val="0"/>
          <w:sz w:val="18"/>
          <w:szCs w:val="18"/>
        </w:rPr>
        <w:t>产品登记编码</w:t>
      </w:r>
      <w:r>
        <w:rPr>
          <w:rFonts w:hint="eastAsia" w:ascii="宋体" w:hAnsi="宋体" w:cs="仿宋_GB2312"/>
          <w:kern w:val="0"/>
          <w:sz w:val="18"/>
          <w:szCs w:val="18"/>
        </w:rPr>
        <w:t>：【</w:t>
      </w:r>
      <w:r>
        <w:rPr>
          <w:rFonts w:ascii="宋体" w:hAnsi="宋体" w:cs="仿宋_GB2312"/>
          <w:kern w:val="0"/>
          <w:sz w:val="18"/>
          <w:szCs w:val="18"/>
        </w:rPr>
        <w:t>Z7002020000024</w:t>
      </w:r>
      <w:r>
        <w:rPr>
          <w:rFonts w:hint="eastAsia" w:ascii="宋体" w:hAnsi="宋体" w:cs="仿宋_GB2312"/>
          <w:kern w:val="0"/>
          <w:sz w:val="18"/>
          <w:szCs w:val="18"/>
        </w:rPr>
        <w:t>】</w:t>
      </w:r>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538" w:firstLineChars="299"/>
        <w:rPr>
          <w:rFonts w:ascii="宋体" w:hAnsi="宋体" w:cs="仿宋_GB2312"/>
          <w:kern w:val="0"/>
          <w:sz w:val="18"/>
          <w:szCs w:val="18"/>
        </w:rPr>
      </w:pPr>
      <w:r>
        <w:rPr>
          <w:rFonts w:hint="eastAsia" w:ascii="宋体" w:hAnsi="宋体" w:cs="仿宋_GB2312"/>
          <w:kern w:val="0"/>
          <w:sz w:val="18"/>
          <w:szCs w:val="18"/>
        </w:rPr>
        <w:t>【公募、开放式、固定收益类、非保本浮动</w:t>
      </w:r>
      <w:r>
        <w:rPr>
          <w:rFonts w:ascii="宋体" w:hAnsi="宋体" w:cs="仿宋_GB2312"/>
          <w:kern w:val="0"/>
          <w:sz w:val="18"/>
          <w:szCs w:val="18"/>
        </w:rPr>
        <w:t>收益</w:t>
      </w:r>
      <w:r>
        <w:rPr>
          <w:rFonts w:hint="eastAsia" w:ascii="宋体" w:hAnsi="宋体" w:cs="仿宋_GB2312"/>
          <w:kern w:val="0"/>
          <w:sz w:val="18"/>
          <w:szCs w:val="18"/>
        </w:rPr>
        <w:t>、净值型】理财产品。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ascii="宋体" w:hAnsi="宋体" w:cs="仿宋_GB2312"/>
          <w:kern w:val="0"/>
          <w:sz w:val="18"/>
          <w:szCs w:val="18"/>
        </w:rPr>
      </w:pPr>
      <w:r>
        <w:rPr>
          <w:rFonts w:hint="eastAsia" w:ascii="宋体" w:hAnsi="宋体" w:cs="仿宋_GB2312"/>
          <w:kern w:val="0"/>
          <w:sz w:val="18"/>
          <w:szCs w:val="18"/>
        </w:rPr>
        <w:t>【无固定期限】</w:t>
      </w:r>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本理财产品风险评级最终定义为【R2</w:t>
      </w:r>
      <w:r>
        <w:rPr>
          <w:rFonts w:ascii="宋体" w:hAnsi="宋体" w:cs="仿宋_GB2312"/>
          <w:kern w:val="0"/>
          <w:sz w:val="18"/>
          <w:szCs w:val="18"/>
        </w:rPr>
        <w:t>】</w:t>
      </w:r>
      <w:r>
        <w:rPr>
          <w:rFonts w:hint="eastAsia" w:ascii="宋体" w:hAnsi="宋体" w:cs="仿宋_GB2312"/>
          <w:kern w:val="0"/>
          <w:sz w:val="18"/>
          <w:szCs w:val="18"/>
        </w:rPr>
        <w:t>（产品管理人定义的产品风险评级为【R2</w:t>
      </w:r>
      <w:r>
        <w:rPr>
          <w:rFonts w:ascii="宋体" w:hAnsi="宋体" w:cs="仿宋_GB2312"/>
          <w:kern w:val="0"/>
          <w:sz w:val="18"/>
          <w:szCs w:val="18"/>
        </w:rPr>
        <w:t>】</w:t>
      </w:r>
      <w:r>
        <w:rPr>
          <w:rFonts w:hint="eastAsia" w:ascii="宋体" w:hAnsi="宋体" w:cs="仿宋_GB2312"/>
          <w:kern w:val="0"/>
          <w:sz w:val="18"/>
          <w:szCs w:val="18"/>
        </w:rPr>
        <w:t>；代理销售机构定义的产品风险评级为【R2】）。</w:t>
      </w:r>
      <w:r>
        <w:rPr>
          <w:rFonts w:hint="eastAsia" w:asciiTheme="majorEastAsia" w:hAnsiTheme="majorEastAsia" w:eastAsiaTheme="major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■个人投资者：【□ C1、■ C2、■ C3、■ C4、■ C5、■ C6】。</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□机构投资者：□一般</w:t>
      </w:r>
      <w:r>
        <w:rPr>
          <w:rFonts w:asciiTheme="majorEastAsia" w:hAnsiTheme="majorEastAsia" w:eastAsiaTheme="majorEastAsia"/>
          <w:bCs/>
          <w:color w:val="000000" w:themeColor="text1"/>
          <w:sz w:val="18"/>
          <w:szCs w:val="18"/>
          <w14:textFill>
            <w14:solidFill>
              <w14:schemeClr w14:val="tx1"/>
            </w14:solidFill>
          </w14:textFill>
        </w:rPr>
        <w:t>机构</w:t>
      </w:r>
      <w:r>
        <w:rPr>
          <w:rFonts w:hint="eastAsia" w:asciiTheme="majorEastAsia" w:hAnsiTheme="majorEastAsia" w:eastAsiaTheme="majorEastAsia"/>
          <w:bCs/>
          <w:color w:val="000000" w:themeColor="text1"/>
          <w:sz w:val="18"/>
          <w:szCs w:val="18"/>
          <w14:textFill>
            <w14:solidFill>
              <w14:schemeClr w14:val="tx1"/>
            </w14:solidFill>
          </w14:textFill>
        </w:rPr>
        <w:t>客户【□</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14:textFill>
            <w14:solidFill>
              <w14:schemeClr w14:val="tx1"/>
            </w14:solidFill>
          </w14:textFill>
        </w:rPr>
        <w:t>，□金融同业客户。</w:t>
      </w:r>
    </w:p>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ind w:firstLine="360" w:firstLineChars="200"/>
        <w:rPr>
          <w:rFonts w:ascii="宋体" w:hAnsi="宋体"/>
          <w:sz w:val="18"/>
          <w:szCs w:val="18"/>
        </w:rPr>
      </w:pPr>
      <w:r>
        <w:rPr>
          <w:rFonts w:hint="eastAsia" w:ascii="宋体" w:hAnsi="宋体"/>
          <w:sz w:val="18"/>
          <w:szCs w:val="18"/>
        </w:rPr>
        <w:t>1.拟投资市场和资产的风险：</w:t>
      </w:r>
    </w:p>
    <w:p>
      <w:pPr>
        <w:ind w:firstLine="360" w:firstLineChars="200"/>
        <w:rPr>
          <w:rFonts w:ascii="宋体" w:hAnsi="宋体"/>
          <w:sz w:val="18"/>
          <w:szCs w:val="18"/>
        </w:rPr>
      </w:pPr>
      <w:r>
        <w:rPr>
          <w:rFonts w:hint="eastAsia" w:ascii="宋体" w:hAnsi="宋体"/>
          <w:sz w:val="18"/>
          <w:szCs w:val="18"/>
        </w:rPr>
        <w:t>（1）投资债权类资产的风险</w:t>
      </w:r>
    </w:p>
    <w:p>
      <w:pPr>
        <w:ind w:firstLine="360" w:firstLineChars="200"/>
        <w:rPr>
          <w:rFonts w:ascii="宋体" w:hAnsi="宋体"/>
          <w:sz w:val="18"/>
          <w:szCs w:val="18"/>
        </w:rPr>
      </w:pPr>
      <w:r>
        <w:rPr>
          <w:rFonts w:hint="eastAsia" w:ascii="宋体" w:hAnsi="宋体"/>
          <w:sz w:val="18"/>
          <w:szCs w:val="18"/>
        </w:rPr>
        <w:t>1）投资标准化债权类资产的风险</w:t>
      </w:r>
    </w:p>
    <w:p>
      <w:pPr>
        <w:ind w:firstLine="360" w:firstLineChars="200"/>
        <w:rPr>
          <w:rFonts w:ascii="宋体" w:hAnsi="宋体"/>
          <w:sz w:val="18"/>
          <w:szCs w:val="18"/>
        </w:rPr>
      </w:pPr>
      <w:r>
        <w:rPr>
          <w:rFonts w:hint="eastAsia" w:ascii="宋体" w:hAnsi="宋体"/>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ind w:firstLine="360" w:firstLineChars="200"/>
        <w:rPr>
          <w:rFonts w:ascii="宋体" w:hAnsi="宋体"/>
          <w:sz w:val="18"/>
          <w:szCs w:val="18"/>
        </w:rPr>
      </w:pPr>
      <w:r>
        <w:rPr>
          <w:rFonts w:hint="eastAsia" w:ascii="宋体" w:hAnsi="宋体"/>
          <w:sz w:val="18"/>
          <w:szCs w:val="18"/>
        </w:rPr>
        <w:t>2）投资非标准化债权类资产的风险</w:t>
      </w:r>
    </w:p>
    <w:p>
      <w:pPr>
        <w:ind w:firstLine="360" w:firstLineChars="200"/>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ind w:firstLine="360" w:firstLineChars="200"/>
        <w:rPr>
          <w:rFonts w:ascii="宋体" w:hAnsi="宋体"/>
          <w:sz w:val="18"/>
          <w:szCs w:val="18"/>
        </w:rPr>
      </w:pPr>
      <w:r>
        <w:rPr>
          <w:rFonts w:hint="eastAsia" w:ascii="宋体" w:hAnsi="宋体"/>
          <w:sz w:val="18"/>
          <w:szCs w:val="18"/>
        </w:rPr>
        <w:t xml:space="preserve">（2）投资商品和金融衍生品类资产的风险 </w:t>
      </w:r>
    </w:p>
    <w:p>
      <w:pPr>
        <w:ind w:firstLine="360" w:firstLineChars="200"/>
        <w:rPr>
          <w:rFonts w:ascii="宋体" w:hAnsi="宋体"/>
          <w:sz w:val="18"/>
          <w:szCs w:val="18"/>
        </w:rPr>
      </w:pPr>
      <w:r>
        <w:rPr>
          <w:rFonts w:hint="eastAsia" w:ascii="宋体" w:hAnsi="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pPr>
        <w:pStyle w:val="16"/>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pStyle w:val="16"/>
        <w:ind w:firstLine="426" w:firstLineChars="0"/>
        <w:rPr>
          <w:rFonts w:ascii="宋体" w:hAnsi="宋体"/>
          <w:b/>
          <w:bCs/>
          <w:sz w:val="18"/>
          <w:szCs w:val="18"/>
        </w:rPr>
      </w:pPr>
      <w:r>
        <w:rPr>
          <w:rFonts w:hint="eastAsia" w:ascii="宋体" w:hAnsi="宋体"/>
          <w:b/>
          <w:bCs/>
          <w:sz w:val="18"/>
          <w:szCs w:val="18"/>
        </w:rPr>
        <w:t xml:space="preserve">（二）投资者投资本产品可能面临的一般风险主要包括（但不限于）： </w:t>
      </w:r>
    </w:p>
    <w:p>
      <w:pPr>
        <w:pStyle w:val="16"/>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pPr>
        <w:pStyle w:val="16"/>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6"/>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pPr>
        <w:pStyle w:val="16"/>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6"/>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pPr>
        <w:pStyle w:val="16"/>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6"/>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pPr>
        <w:pStyle w:val="16"/>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6"/>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pPr>
        <w:pStyle w:val="16"/>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6"/>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pPr>
        <w:pStyle w:val="16"/>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6"/>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pPr>
        <w:pStyle w:val="16"/>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pStyle w:val="16"/>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pPr>
        <w:pStyle w:val="16"/>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pPr>
        <w:pStyle w:val="16"/>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pPr>
        <w:pStyle w:val="16"/>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6"/>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pPr>
        <w:pStyle w:val="16"/>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6"/>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pPr>
        <w:pStyle w:val="16"/>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6"/>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pPr>
        <w:pStyle w:val="16"/>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pPr>
        <w:pStyle w:val="16"/>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pPr>
        <w:pStyle w:val="16"/>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16"/>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pPr>
        <w:pStyle w:val="16"/>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pPr>
        <w:pStyle w:val="16"/>
        <w:ind w:firstLineChars="0"/>
        <w:rPr>
          <w:rFonts w:ascii="宋体" w:hAnsi="宋体"/>
          <w:b/>
          <w:bCs/>
          <w:sz w:val="18"/>
          <w:szCs w:val="18"/>
        </w:rPr>
      </w:pPr>
      <w:r>
        <w:rPr>
          <w:rFonts w:hint="eastAsia" w:ascii="宋体" w:hAnsi="宋体"/>
          <w:b/>
          <w:bCs/>
          <w:sz w:val="18"/>
          <w:szCs w:val="18"/>
        </w:rPr>
        <w:t>17.关联交易风险</w:t>
      </w:r>
    </w:p>
    <w:p>
      <w:pPr>
        <w:pStyle w:val="16"/>
        <w:ind w:firstLineChars="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宋体"/>
          <w:b/>
          <w:bCs/>
          <w:color w:val="000000"/>
          <w:kern w:val="0"/>
          <w:sz w:val="18"/>
          <w:szCs w:val="18"/>
        </w:rPr>
        <w:t>五、【非机构投资者适用】</w:t>
      </w:r>
      <w:r>
        <w:rPr>
          <w:rFonts w:hint="eastAsia" w:ascii="宋体" w:hAnsi="宋体" w:cs="仿宋_GB2312"/>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hint="eastAsia" w:ascii="黑体" w:hAnsi="黑体" w:eastAsia="黑体" w:cs="仿宋_GB2312"/>
          <w:kern w:val="0"/>
          <w:sz w:val="18"/>
          <w:szCs w:val="18"/>
        </w:rPr>
        <w:t>如影响您风险承受能力的因素发生变化，请您及时重新完成风险承受能力评估。其他类型投资者的风险承受能力评估按照《（代理）销售协议书》约定或销售机构的销售政策执行。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的理财产品适用】当销售机构销售产品风险评级为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jc w:val="right"/>
        <w:rPr>
          <w:rFonts w:hint="eastAsia" w:ascii="宋体" w:hAnsi="宋体" w:eastAsia="宋体"/>
          <w:sz w:val="18"/>
          <w:szCs w:val="18"/>
          <w:lang w:eastAsia="zh-CN"/>
        </w:rPr>
      </w:pPr>
      <w:r>
        <w:rPr>
          <w:rFonts w:hint="eastAsia" w:ascii="宋体" w:hAnsi="宋体"/>
          <w:sz w:val="18"/>
          <w:szCs w:val="18"/>
          <w:lang w:eastAsia="zh-CN"/>
        </w:rPr>
        <w:t>销售机构（</w:t>
      </w:r>
      <w:r>
        <w:rPr>
          <w:rFonts w:hint="eastAsia" w:ascii="宋体" w:hAnsi="宋体"/>
          <w:sz w:val="18"/>
          <w:szCs w:val="18"/>
        </w:rPr>
        <w:t>福建</w:t>
      </w:r>
      <w:r>
        <w:rPr>
          <w:rFonts w:hint="eastAsia" w:ascii="宋体" w:hAnsi="宋体"/>
          <w:sz w:val="18"/>
          <w:szCs w:val="18"/>
          <w:lang w:val="en-US" w:eastAsia="zh-CN"/>
        </w:rPr>
        <w:t>海峡银行股份有限公司</w:t>
      </w:r>
      <w:r>
        <w:rPr>
          <w:rFonts w:hint="eastAsia" w:ascii="宋体" w:hAnsi="宋体"/>
          <w:sz w:val="18"/>
          <w:szCs w:val="18"/>
          <w:lang w:eastAsia="zh-CN"/>
        </w:rPr>
        <w:t xml:space="preserve">） </w:t>
      </w:r>
      <w:r>
        <w:rPr>
          <w:rFonts w:ascii="宋体" w:hAnsi="宋体"/>
          <w:sz w:val="18"/>
          <w:szCs w:val="18"/>
        </w:rPr>
        <w:br w:type="page"/>
      </w:r>
    </w:p>
    <w:p>
      <w:pPr>
        <w:widowControl/>
        <w:jc w:val="right"/>
        <w:rPr>
          <w:rFonts w:ascii="宋体" w:hAnsi="宋体"/>
          <w:sz w:val="18"/>
          <w:szCs w:val="18"/>
        </w:rPr>
      </w:pPr>
    </w:p>
    <w:p>
      <w:pPr>
        <w:ind w:left="540"/>
        <w:jc w:val="right"/>
        <w:rPr>
          <w:rFonts w:ascii="宋体" w:hAnsi="宋体"/>
          <w:sz w:val="18"/>
          <w:szCs w:val="18"/>
        </w:rPr>
      </w:pPr>
    </w:p>
    <w:p>
      <w:pPr>
        <w:ind w:left="540"/>
        <w:jc w:val="right"/>
        <w:rPr>
          <w:rFonts w:ascii="宋体" w:hAnsi="宋体"/>
          <w:sz w:val="18"/>
          <w:szCs w:val="18"/>
        </w:rPr>
      </w:pPr>
    </w:p>
    <w:tbl>
      <w:tblPr>
        <w:tblStyle w:val="10"/>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283" w:hRule="atLeast"/>
        </w:trPr>
        <w:tc>
          <w:tcPr>
            <w:tcW w:w="8371"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投资者签字：</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10"/>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r>
              <w:rPr>
                <w:rFonts w:ascii="宋体" w:hAnsi="宋体" w:cs="Arial"/>
                <w:b/>
                <w:kern w:val="0"/>
                <w:sz w:val="20"/>
                <w:szCs w:val="21"/>
              </w:rPr>
              <w:t>一般机构客户</w:t>
            </w:r>
            <w:r>
              <w:rPr>
                <w:rFonts w:hint="eastAsia" w:ascii="宋体" w:hAnsi="宋体" w:cs="Arial"/>
                <w:b/>
                <w:kern w:val="0"/>
                <w:sz w:val="20"/>
                <w:szCs w:val="21"/>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（签字或盖章）：</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ascii="宋体" w:hAnsi="宋体"/>
          <w:b/>
          <w:sz w:val="28"/>
          <w:szCs w:val="28"/>
        </w:rPr>
      </w:pPr>
      <w:r>
        <w:rPr>
          <w:rFonts w:ascii="宋体" w:hAnsi="宋体"/>
          <w:b/>
          <w:sz w:val="28"/>
          <w:szCs w:val="28"/>
        </w:rPr>
        <w:br w:type="page"/>
      </w:r>
    </w:p>
    <w:tbl>
      <w:tblPr>
        <w:tblStyle w:val="10"/>
        <w:tblW w:w="838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8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73" w:hRule="atLeast"/>
        </w:trPr>
        <w:tc>
          <w:tcPr>
            <w:tcW w:w="8388"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（适用于机构投资者：金融同业</w:t>
            </w:r>
            <w:r>
              <w:rPr>
                <w:rFonts w:ascii="宋体" w:hAnsi="宋体" w:cs="Arial"/>
                <w:b/>
                <w:kern w:val="0"/>
                <w:sz w:val="20"/>
                <w:szCs w:val="21"/>
              </w:rPr>
              <w:t>客户</w:t>
            </w:r>
            <w:r>
              <w:rPr>
                <w:rFonts w:hint="eastAsia" w:ascii="宋体" w:hAnsi="宋体" w:cs="Arial"/>
                <w:b/>
                <w:kern w:val="0"/>
                <w:sz w:val="20"/>
                <w:szCs w:val="21"/>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016" w:hRule="atLeast"/>
        </w:trPr>
        <w:tc>
          <w:tcPr>
            <w:tcW w:w="8388"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（签字或盖章）：</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
    <w:p>
      <w:pPr>
        <w:sectPr>
          <w:headerReference r:id="rId15" w:type="default"/>
          <w:footerReference r:id="rId16" w:type="default"/>
          <w:pgSz w:w="11906" w:h="16838"/>
          <w:pgMar w:top="1440" w:right="1800" w:bottom="1440" w:left="1800" w:header="567" w:footer="964" w:gutter="0"/>
          <w:pgNumType w:fmt="decimal"/>
          <w:cols w:space="425" w:num="1"/>
          <w:docGrid w:type="lines" w:linePitch="312" w:charSpace="0"/>
        </w:sectPr>
      </w:pPr>
    </w:p>
    <w:p>
      <w:pPr>
        <w:adjustRightInd w:val="0"/>
        <w:spacing w:line="276" w:lineRule="auto"/>
        <w:jc w:val="center"/>
        <w:rPr>
          <w:rStyle w:val="12"/>
          <w:rFonts w:ascii="黑体" w:hAnsi="黑体" w:eastAsia="黑体"/>
          <w:sz w:val="28"/>
          <w:szCs w:val="28"/>
        </w:rPr>
      </w:pPr>
      <w:bookmarkStart w:id="236" w:name="_GoBack"/>
      <w:r>
        <w:rPr>
          <w:rStyle w:val="12"/>
          <w:rFonts w:hint="eastAsia" w:ascii="黑体" w:hAnsi="黑体" w:eastAsia="黑体"/>
          <w:sz w:val="28"/>
          <w:szCs w:val="28"/>
        </w:rPr>
        <w:t>兴银理财【天天万利宝稳利净值型】理财产品</w:t>
      </w:r>
    </w:p>
    <w:p>
      <w:pPr>
        <w:adjustRightInd w:val="0"/>
        <w:spacing w:line="276" w:lineRule="auto"/>
        <w:jc w:val="center"/>
        <w:rPr>
          <w:rStyle w:val="12"/>
          <w:rFonts w:ascii="黑体" w:hAnsi="黑体" w:eastAsia="黑体"/>
          <w:sz w:val="28"/>
          <w:szCs w:val="28"/>
        </w:rPr>
      </w:pPr>
      <w:r>
        <w:rPr>
          <w:rStyle w:val="12"/>
          <w:rFonts w:hint="eastAsia" w:ascii="黑体" w:hAnsi="黑体" w:eastAsia="黑体"/>
          <w:sz w:val="28"/>
          <w:szCs w:val="28"/>
        </w:rPr>
        <w:t>投资者权益须知</w:t>
      </w:r>
    </w:p>
    <w:p>
      <w:pPr>
        <w:pStyle w:val="18"/>
        <w:jc w:val="center"/>
        <w:rPr>
          <w:rFonts w:hAnsi="宋体"/>
          <w:b/>
          <w:color w:val="auto"/>
          <w:sz w:val="28"/>
          <w:szCs w:val="28"/>
        </w:rPr>
      </w:pPr>
      <w:r>
        <w:rPr>
          <w:rFonts w:hint="eastAsia" w:hAnsi="宋体"/>
          <w:b/>
          <w:color w:val="auto"/>
          <w:sz w:val="28"/>
          <w:szCs w:val="28"/>
        </w:rPr>
        <w:t>（适用于个人投资者）</w:t>
      </w:r>
    </w:p>
    <w:p>
      <w:pPr>
        <w:rPr>
          <w:rFonts w:ascii="宋体" w:hAnsi="宋体"/>
          <w:b/>
          <w:sz w:val="18"/>
          <w:szCs w:val="18"/>
        </w:rPr>
      </w:pPr>
      <w:r>
        <w:rPr>
          <w:rFonts w:hint="eastAsia" w:ascii="宋体" w:hAnsi="宋体"/>
          <w:b/>
          <w:sz w:val="18"/>
          <w:szCs w:val="18"/>
        </w:rPr>
        <w:t>尊敬的投资者：</w:t>
      </w:r>
    </w:p>
    <w:p>
      <w:pPr>
        <w:spacing w:line="320" w:lineRule="exact"/>
        <w:ind w:firstLine="360" w:firstLineChars="200"/>
        <w:jc w:val="left"/>
        <w:rPr>
          <w:rFonts w:hint="eastAsia" w:ascii="宋体" w:hAnsi="宋体"/>
          <w:sz w:val="18"/>
          <w:szCs w:val="18"/>
          <w:lang w:eastAsia="zh-CN"/>
        </w:rPr>
      </w:pPr>
      <w:r>
        <w:rPr>
          <w:rFonts w:hint="eastAsia" w:ascii="宋体" w:hAnsi="宋体"/>
          <w:sz w:val="18"/>
          <w:szCs w:val="18"/>
          <w:lang w:eastAsia="zh-CN"/>
        </w:rPr>
        <w:t>感谢您通过销售机构【</w:t>
      </w:r>
      <w:r>
        <w:rPr>
          <w:rFonts w:hint="eastAsia" w:ascii="宋体" w:hAnsi="宋体"/>
          <w:sz w:val="18"/>
          <w:szCs w:val="18"/>
        </w:rPr>
        <w:t>福建</w:t>
      </w:r>
      <w:r>
        <w:rPr>
          <w:rFonts w:hint="eastAsia" w:ascii="宋体" w:hAnsi="宋体"/>
          <w:sz w:val="18"/>
          <w:szCs w:val="18"/>
          <w:lang w:val="en-US" w:eastAsia="zh-CN"/>
        </w:rPr>
        <w:t>海峡银行股份有限公司</w:t>
      </w:r>
      <w:r>
        <w:rPr>
          <w:rFonts w:hint="eastAsia" w:ascii="宋体" w:hAnsi="宋体"/>
          <w:sz w:val="18"/>
          <w:szCs w:val="18"/>
          <w:lang w:eastAsia="zh-CN"/>
        </w:rPr>
        <w:t>】以(□ 直销：产品管理人销售/■ 代销：代理销售机构销售)的形式购买兴银理财有限责任公司（以下简称“兴银理财”）作为产品管理人管理的理财产品。</w:t>
      </w:r>
    </w:p>
    <w:p>
      <w:pPr>
        <w:spacing w:line="320" w:lineRule="exact"/>
        <w:ind w:firstLine="360" w:firstLineChars="200"/>
        <w:jc w:val="left"/>
        <w:rPr>
          <w:rFonts w:ascii="宋体" w:hAnsi="宋体"/>
          <w:sz w:val="18"/>
          <w:szCs w:val="18"/>
        </w:rPr>
      </w:pPr>
      <w:r>
        <w:rPr>
          <w:rFonts w:hint="eastAsia" w:ascii="宋体" w:hAnsi="宋体"/>
          <w:sz w:val="18"/>
          <w:szCs w:val="18"/>
        </w:rPr>
        <w:t>请仔细阅读本《投资者权益须知》，行使您在本业务项下的权益。</w:t>
      </w:r>
      <w:r>
        <w:rPr>
          <w:rFonts w:ascii="宋体" w:hAnsi="宋体"/>
          <w:sz w:val="18"/>
          <w:szCs w:val="18"/>
        </w:rPr>
        <w:t xml:space="preserve"> </w:t>
      </w:r>
    </w:p>
    <w:p>
      <w:pPr>
        <w:ind w:firstLine="360" w:firstLineChars="200"/>
        <w:rPr>
          <w:rFonts w:ascii="宋体" w:hAnsi="宋体"/>
          <w:sz w:val="18"/>
          <w:szCs w:val="18"/>
        </w:rPr>
      </w:pPr>
    </w:p>
    <w:p>
      <w:pPr>
        <w:ind w:firstLine="361" w:firstLineChars="200"/>
        <w:rPr>
          <w:rFonts w:ascii="宋体" w:hAnsi="宋体"/>
          <w:b/>
          <w:sz w:val="18"/>
          <w:szCs w:val="18"/>
        </w:rPr>
      </w:pPr>
      <w:r>
        <w:rPr>
          <w:rFonts w:hint="eastAsia" w:ascii="宋体" w:hAnsi="宋体"/>
          <w:b/>
          <w:sz w:val="18"/>
          <w:szCs w:val="18"/>
        </w:rPr>
        <w:t>一、理财产品购买流程</w:t>
      </w:r>
    </w:p>
    <w:p>
      <w:pPr>
        <w:ind w:firstLine="360" w:firstLineChars="200"/>
        <w:rPr>
          <w:rFonts w:ascii="宋体" w:hAnsi="宋体"/>
          <w:sz w:val="18"/>
          <w:szCs w:val="18"/>
        </w:rPr>
      </w:pPr>
      <w:r>
        <w:rPr>
          <w:rFonts w:hint="eastAsia" w:ascii="宋体" w:hAnsi="宋体"/>
          <w:sz w:val="18"/>
          <w:szCs w:val="18"/>
        </w:rPr>
        <w:t>（一）</w:t>
      </w:r>
      <w:r>
        <w:rPr>
          <w:rFonts w:ascii="宋体" w:hAnsi="宋体"/>
          <w:sz w:val="18"/>
          <w:szCs w:val="18"/>
        </w:rPr>
        <w:t>开立或持有</w:t>
      </w:r>
      <w:r>
        <w:rPr>
          <w:rFonts w:hint="eastAsia" w:ascii="宋体" w:hAnsi="宋体"/>
          <w:sz w:val="18"/>
          <w:szCs w:val="18"/>
        </w:rPr>
        <w:t>销售机构</w:t>
      </w:r>
      <w:r>
        <w:rPr>
          <w:rFonts w:ascii="宋体" w:hAnsi="宋体"/>
          <w:sz w:val="18"/>
          <w:szCs w:val="18"/>
        </w:rPr>
        <w:t>账户，该账户用于本产品的理财资金划转及</w:t>
      </w:r>
      <w:r>
        <w:rPr>
          <w:rFonts w:hint="eastAsia" w:ascii="宋体" w:hAnsi="宋体"/>
          <w:sz w:val="18"/>
          <w:szCs w:val="18"/>
        </w:rPr>
        <w:t>分配</w:t>
      </w:r>
      <w:r>
        <w:rPr>
          <w:rFonts w:ascii="宋体" w:hAnsi="宋体"/>
          <w:sz w:val="18"/>
          <w:szCs w:val="18"/>
        </w:rPr>
        <w:t>，您应确保持有本产品期间所指定账户不做销户。</w:t>
      </w:r>
    </w:p>
    <w:p>
      <w:pPr>
        <w:ind w:firstLine="360" w:firstLineChars="200"/>
        <w:rPr>
          <w:rFonts w:ascii="宋体" w:hAnsi="宋体"/>
          <w:sz w:val="18"/>
          <w:szCs w:val="18"/>
        </w:rPr>
      </w:pPr>
      <w:r>
        <w:rPr>
          <w:rFonts w:hint="eastAsia" w:ascii="宋体" w:hAnsi="宋体"/>
          <w:sz w:val="18"/>
          <w:szCs w:val="18"/>
        </w:rPr>
        <w:t>（二）</w:t>
      </w:r>
      <w:r>
        <w:rPr>
          <w:rFonts w:ascii="宋体" w:hAnsi="宋体"/>
          <w:sz w:val="18"/>
          <w:szCs w:val="18"/>
        </w:rPr>
        <w:t>接受并完成</w:t>
      </w:r>
      <w:r>
        <w:rPr>
          <w:rFonts w:hint="eastAsia" w:ascii="宋体" w:hAnsi="宋体"/>
          <w:sz w:val="18"/>
          <w:szCs w:val="18"/>
        </w:rPr>
        <w:t>销售机构</w:t>
      </w:r>
      <w:r>
        <w:rPr>
          <w:rFonts w:ascii="宋体" w:hAnsi="宋体"/>
          <w:sz w:val="18"/>
          <w:szCs w:val="18"/>
        </w:rPr>
        <w:t>对您的风险承受能力评估，并根据风险评估结果选择适合的产品。</w:t>
      </w:r>
      <w:r>
        <w:rPr>
          <w:rFonts w:hint="eastAsia" w:ascii="宋体" w:hAnsi="宋体"/>
          <w:sz w:val="18"/>
          <w:szCs w:val="18"/>
        </w:rPr>
        <w:t>若销售机构对您风险承受能力评估事宜另有安排的，以销售机构政策为准。</w:t>
      </w:r>
    </w:p>
    <w:p>
      <w:pPr>
        <w:ind w:firstLine="360" w:firstLineChars="200"/>
        <w:rPr>
          <w:rFonts w:ascii="宋体" w:hAnsi="宋体"/>
          <w:sz w:val="18"/>
          <w:szCs w:val="18"/>
        </w:rPr>
      </w:pPr>
      <w:r>
        <w:rPr>
          <w:rFonts w:hint="eastAsia" w:ascii="宋体" w:hAnsi="宋体"/>
          <w:sz w:val="18"/>
          <w:szCs w:val="18"/>
        </w:rPr>
        <w:t>（三）</w:t>
      </w:r>
      <w:r>
        <w:rPr>
          <w:rFonts w:ascii="宋体" w:hAnsi="宋体"/>
          <w:sz w:val="18"/>
          <w:szCs w:val="18"/>
        </w:rPr>
        <w:t>请仔细阅读《</w:t>
      </w:r>
      <w:r>
        <w:rPr>
          <w:rFonts w:hint="eastAsia" w:ascii="宋体" w:hAnsi="宋体"/>
          <w:sz w:val="18"/>
          <w:szCs w:val="18"/>
        </w:rPr>
        <w:t>投资</w:t>
      </w:r>
      <w:r>
        <w:rPr>
          <w:rFonts w:ascii="宋体" w:hAnsi="宋体"/>
          <w:sz w:val="18"/>
          <w:szCs w:val="18"/>
        </w:rPr>
        <w:t>协议书》、《产品说明书》、</w:t>
      </w:r>
      <w:r>
        <w:rPr>
          <w:rFonts w:hint="eastAsia" w:ascii="宋体" w:hAnsi="宋体"/>
          <w:sz w:val="18"/>
          <w:szCs w:val="18"/>
        </w:rPr>
        <w:t>《（代理）销售</w:t>
      </w:r>
      <w:r>
        <w:rPr>
          <w:rFonts w:ascii="宋体" w:hAnsi="宋体"/>
          <w:sz w:val="18"/>
          <w:szCs w:val="18"/>
        </w:rPr>
        <w:t>协议书</w:t>
      </w:r>
      <w:r>
        <w:rPr>
          <w:rFonts w:hint="eastAsia" w:ascii="宋体" w:hAnsi="宋体"/>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pPr>
        <w:ind w:firstLine="360" w:firstLineChars="200"/>
        <w:rPr>
          <w:rFonts w:ascii="宋体" w:hAnsi="宋体"/>
          <w:sz w:val="18"/>
          <w:szCs w:val="18"/>
        </w:rPr>
      </w:pPr>
      <w:r>
        <w:rPr>
          <w:rFonts w:hint="eastAsia" w:ascii="宋体" w:hAnsi="宋体"/>
          <w:sz w:val="18"/>
          <w:szCs w:val="18"/>
        </w:rPr>
        <w:t>（四）销售机构营业网点或电子银行（包括但不限于网上银行、电话银行和手机银行）均可办理理财产品的购买手续，具体以代销机构情况为准。若产品管理人根据产品风险等级和市场情况确定发售渠道的，代销机构将按产品管理人要求执行。</w:t>
      </w:r>
    </w:p>
    <w:p>
      <w:pPr>
        <w:ind w:firstLine="361" w:firstLineChars="200"/>
        <w:rPr>
          <w:rFonts w:ascii="宋体" w:hAnsi="宋体"/>
          <w:b/>
          <w:sz w:val="18"/>
          <w:szCs w:val="18"/>
        </w:rPr>
      </w:pPr>
      <w:r>
        <w:rPr>
          <w:rFonts w:hint="eastAsia" w:ascii="宋体" w:hAnsi="宋体"/>
          <w:b/>
          <w:sz w:val="18"/>
          <w:szCs w:val="18"/>
        </w:rPr>
        <w:t>二、投资者风险承受能力与产品风险评级</w:t>
      </w:r>
    </w:p>
    <w:p>
      <w:pPr>
        <w:ind w:firstLine="361" w:firstLineChars="200"/>
        <w:rPr>
          <w:rFonts w:ascii="宋体" w:hAnsi="宋体"/>
          <w:b/>
          <w:sz w:val="18"/>
          <w:szCs w:val="18"/>
        </w:rPr>
      </w:pPr>
      <w:r>
        <w:rPr>
          <w:rFonts w:hint="eastAsia" w:ascii="宋体" w:hAnsi="宋体"/>
          <w:b/>
          <w:sz w:val="18"/>
          <w:szCs w:val="18"/>
        </w:rPr>
        <w:t>（一）投资者风险承受能力评估说明</w:t>
      </w:r>
    </w:p>
    <w:p>
      <w:pPr>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 xml:space="preserve"> </w:t>
      </w:r>
      <w:r>
        <w:rPr>
          <w:rFonts w:hint="eastAsia" w:ascii="宋体" w:hAnsi="宋体"/>
          <w:sz w:val="18"/>
          <w:szCs w:val="18"/>
        </w:rPr>
        <w:t>您购买理财产品前，应确保已完成风险承受能力评估且风险评估结果在有效期内，理财销售管理系统会记录投资者身份信息及风险评估结果信息。该评估结果有效期一年，并将作为评价您是否适合购买理财产品的重要因素。您可以通过销售机构</w:t>
      </w:r>
      <w:r>
        <w:rPr>
          <w:rFonts w:ascii="宋体" w:hAnsi="宋体"/>
          <w:sz w:val="18"/>
          <w:szCs w:val="18"/>
        </w:rPr>
        <w:t>线下渠道</w:t>
      </w:r>
      <w:r>
        <w:rPr>
          <w:rFonts w:hint="eastAsia" w:ascii="宋体" w:hAnsi="宋体"/>
          <w:sz w:val="18"/>
          <w:szCs w:val="18"/>
        </w:rPr>
        <w:t>或</w:t>
      </w:r>
      <w:r>
        <w:rPr>
          <w:rFonts w:ascii="宋体" w:hAnsi="宋体"/>
          <w:sz w:val="18"/>
          <w:szCs w:val="18"/>
        </w:rPr>
        <w:t>线上渠道</w:t>
      </w:r>
      <w:r>
        <w:rPr>
          <w:rFonts w:hint="eastAsia" w:ascii="宋体" w:hAnsi="宋体"/>
          <w:sz w:val="18"/>
          <w:szCs w:val="18"/>
        </w:rPr>
        <w:t>进行风险承受能力持续评估。</w:t>
      </w:r>
      <w:r>
        <w:rPr>
          <w:rFonts w:hint="eastAsia" w:ascii="黑体" w:hAnsi="黑体" w:eastAsia="黑体"/>
          <w:b/>
          <w:sz w:val="18"/>
          <w:szCs w:val="18"/>
        </w:rPr>
        <w:t>如影响您风险承受能力的因素发生变化，请您及时重新完成风险承受能力评估。</w:t>
      </w:r>
    </w:p>
    <w:p>
      <w:pPr>
        <w:ind w:firstLine="361" w:firstLineChars="200"/>
        <w:rPr>
          <w:rFonts w:ascii="宋体" w:hAnsi="宋体"/>
          <w:b/>
          <w:sz w:val="18"/>
          <w:szCs w:val="18"/>
        </w:rPr>
      </w:pPr>
      <w:r>
        <w:rPr>
          <w:rFonts w:ascii="宋体" w:hAnsi="宋体"/>
          <w:b/>
          <w:sz w:val="18"/>
          <w:szCs w:val="18"/>
        </w:rPr>
        <w:t xml:space="preserve">2. </w:t>
      </w:r>
      <w:r>
        <w:rPr>
          <w:rFonts w:hint="eastAsia" w:ascii="宋体" w:hAnsi="宋体"/>
          <w:b/>
          <w:sz w:val="18"/>
          <w:szCs w:val="18"/>
        </w:rPr>
        <w:t>投资者风险承受能力评级与理财产品风险评级</w:t>
      </w:r>
    </w:p>
    <w:p>
      <w:pPr>
        <w:ind w:firstLine="360" w:firstLineChars="200"/>
        <w:rPr>
          <w:rFonts w:hint="default" w:ascii="宋体" w:hAnsi="宋体" w:eastAsia="宋体"/>
          <w:sz w:val="18"/>
          <w:szCs w:val="18"/>
          <w:lang w:val="en-US" w:eastAsia="zh-CN"/>
        </w:rPr>
      </w:pPr>
      <w:r>
        <w:rPr>
          <w:rFonts w:hint="eastAsia" w:ascii="宋体" w:hAnsi="宋体"/>
          <w:sz w:val="18"/>
          <w:szCs w:val="18"/>
        </w:rPr>
        <w:t>销售机构</w:t>
      </w:r>
      <w:r>
        <w:rPr>
          <w:rFonts w:ascii="宋体" w:hAnsi="宋体"/>
          <w:sz w:val="18"/>
          <w:szCs w:val="18"/>
        </w:rPr>
        <w:t>根据</w:t>
      </w:r>
      <w:r>
        <w:rPr>
          <w:rFonts w:hint="eastAsia" w:ascii="宋体" w:hAnsi="宋体"/>
          <w:sz w:val="18"/>
          <w:szCs w:val="18"/>
        </w:rPr>
        <w:t>投资者风险承受能力，个人投资者由低至高分为【C1至C</w:t>
      </w:r>
      <w:r>
        <w:rPr>
          <w:rFonts w:hint="eastAsia" w:ascii="宋体" w:hAnsi="宋体"/>
          <w:sz w:val="18"/>
          <w:szCs w:val="18"/>
          <w:lang w:val="en-US" w:eastAsia="zh-CN"/>
        </w:rPr>
        <w:t>5五</w:t>
      </w:r>
      <w:r>
        <w:rPr>
          <w:rFonts w:hint="eastAsia" w:ascii="宋体" w:hAnsi="宋体"/>
          <w:sz w:val="18"/>
          <w:szCs w:val="18"/>
        </w:rPr>
        <w:t>个等级】</w:t>
      </w:r>
      <w:r>
        <w:rPr>
          <w:rFonts w:ascii="宋体" w:hAnsi="宋体"/>
          <w:sz w:val="18"/>
          <w:szCs w:val="18"/>
        </w:rPr>
        <w:t>。其中，</w:t>
      </w:r>
      <w:r>
        <w:rPr>
          <w:rFonts w:hint="eastAsia" w:ascii="宋体" w:hAnsi="宋体"/>
          <w:sz w:val="18"/>
          <w:szCs w:val="18"/>
        </w:rPr>
        <w:t>【C1】</w:t>
      </w:r>
      <w:r>
        <w:rPr>
          <w:rFonts w:ascii="宋体" w:hAnsi="宋体"/>
          <w:sz w:val="18"/>
          <w:szCs w:val="18"/>
        </w:rPr>
        <w:t>为风险承受能力最低类别，</w:t>
      </w:r>
      <w:r>
        <w:rPr>
          <w:rFonts w:hint="eastAsia" w:ascii="宋体" w:hAnsi="宋体"/>
          <w:sz w:val="18"/>
          <w:szCs w:val="18"/>
        </w:rPr>
        <w:t>【C</w:t>
      </w:r>
      <w:r>
        <w:rPr>
          <w:rFonts w:hint="eastAsia" w:ascii="宋体" w:hAnsi="宋体"/>
          <w:sz w:val="18"/>
          <w:szCs w:val="18"/>
          <w:lang w:val="en-US" w:eastAsia="zh-CN"/>
        </w:rPr>
        <w:t>5</w:t>
      </w:r>
      <w:r>
        <w:rPr>
          <w:rFonts w:hint="eastAsia" w:ascii="宋体" w:hAnsi="宋体"/>
          <w:sz w:val="18"/>
          <w:szCs w:val="18"/>
        </w:rPr>
        <w:t>】</w:t>
      </w:r>
      <w:r>
        <w:rPr>
          <w:rFonts w:ascii="宋体" w:hAnsi="宋体"/>
          <w:sz w:val="18"/>
          <w:szCs w:val="18"/>
        </w:rPr>
        <w:t>为风险承受能力最高类别。风险承受能力评级越高适合购买的理财产品风险评级越高，适合购买的理财产品类型越丰富</w:t>
      </w:r>
      <w:r>
        <w:rPr>
          <w:rFonts w:hint="eastAsia" w:ascii="宋体" w:hAnsi="宋体"/>
          <w:sz w:val="18"/>
          <w:szCs w:val="18"/>
        </w:rPr>
        <w:t>。</w:t>
      </w:r>
      <w:r>
        <w:rPr>
          <w:rFonts w:ascii="宋体" w:hAnsi="宋体"/>
          <w:sz w:val="18"/>
          <w:szCs w:val="18"/>
        </w:rPr>
        <w:t>投资者风险承受能力评级类型与适合购买的理财产品的对应关系为：</w:t>
      </w:r>
    </w:p>
    <w:tbl>
      <w:tblPr>
        <w:tblStyle w:val="9"/>
        <w:tblW w:w="8349"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325"/>
        <w:gridCol w:w="5311"/>
        <w:gridCol w:w="17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1325" w:type="dxa"/>
            <w:vAlign w:val="center"/>
          </w:tcPr>
          <w:p>
            <w:pPr>
              <w:jc w:val="center"/>
              <w:rPr>
                <w:rFonts w:hint="default"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风险评级</w:t>
            </w:r>
          </w:p>
        </w:tc>
        <w:tc>
          <w:tcPr>
            <w:tcW w:w="5311" w:type="dxa"/>
            <w:vAlign w:val="center"/>
          </w:tcPr>
          <w:p>
            <w:pPr>
              <w:jc w:val="center"/>
              <w:rPr>
                <w:rFonts w:hint="default"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评级说明</w:t>
            </w:r>
          </w:p>
        </w:tc>
        <w:tc>
          <w:tcPr>
            <w:tcW w:w="1713" w:type="dxa"/>
            <w:vAlign w:val="center"/>
          </w:tcPr>
          <w:p>
            <w:pPr>
              <w:jc w:val="center"/>
              <w:rPr>
                <w:rFonts w:hint="default"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投资者对象</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340" w:hRule="atLeast"/>
          <w:jc w:val="center"/>
        </w:trPr>
        <w:tc>
          <w:tcPr>
            <w:tcW w:w="1325" w:type="dxa"/>
            <w:vAlign w:val="center"/>
          </w:tcPr>
          <w:p>
            <w:pPr>
              <w:keepNext w:val="0"/>
              <w:keepLines w:val="0"/>
              <w:suppressLineNumbers w:val="0"/>
              <w:spacing w:before="0" w:beforeAutospacing="0" w:after="0" w:afterAutospacing="0"/>
              <w:ind w:left="0" w:right="0"/>
              <w:jc w:val="center"/>
              <w:rPr>
                <w:rFonts w:hint="eastAsia" w:ascii="宋体" w:hAnsi="宋体"/>
                <w:color w:val="000000" w:themeColor="text1"/>
                <w:sz w:val="18"/>
                <w:szCs w:val="18"/>
                <w:lang w:val="en-US" w:eastAsia="zh-CN"/>
                <w14:textFill>
                  <w14:solidFill>
                    <w14:schemeClr w14:val="tx1"/>
                  </w14:solidFill>
                </w14:textFill>
              </w:rPr>
            </w:pPr>
            <w:r>
              <w:rPr>
                <w:rFonts w:hint="eastAsia" w:ascii="宋体" w:hAnsi="宋体"/>
                <w:color w:val="000000" w:themeColor="text1"/>
                <w:sz w:val="18"/>
                <w:szCs w:val="18"/>
                <w:lang w:val="en-US" w:eastAsia="zh-CN"/>
                <w14:textFill>
                  <w14:solidFill>
                    <w14:schemeClr w14:val="tx1"/>
                  </w14:solidFill>
                </w14:textFill>
              </w:rPr>
              <w:t>低风险级别</w:t>
            </w:r>
          </w:p>
          <w:p>
            <w:pPr>
              <w:keepNext w:val="0"/>
              <w:keepLines w:val="0"/>
              <w:suppressLineNumbers w:val="0"/>
              <w:spacing w:before="0" w:beforeAutospacing="0" w:after="0" w:afterAutospacing="0"/>
              <w:ind w:left="0" w:right="0"/>
              <w:jc w:val="center"/>
              <w:rPr>
                <w:rFonts w:hint="default"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lang w:val="en-US" w:eastAsia="zh-CN"/>
                <w14:textFill>
                  <w14:solidFill>
                    <w14:schemeClr w14:val="tx1"/>
                  </w14:solidFill>
                </w14:textFill>
              </w:rPr>
              <w:t>（1级）</w:t>
            </w:r>
          </w:p>
        </w:tc>
        <w:tc>
          <w:tcPr>
            <w:tcW w:w="5311" w:type="dxa"/>
            <w:vAlign w:val="center"/>
          </w:tcPr>
          <w:p>
            <w:pPr>
              <w:keepNext w:val="0"/>
              <w:keepLines w:val="0"/>
              <w:suppressLineNumbers w:val="0"/>
              <w:spacing w:before="0" w:beforeAutospacing="0" w:after="0" w:afterAutospacing="0"/>
              <w:ind w:left="0" w:right="0"/>
              <w:rPr>
                <w:rFonts w:hint="default"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lang w:val="en-US" w:eastAsia="zh-CN"/>
                <w14:textFill>
                  <w14:solidFill>
                    <w14:schemeClr w14:val="tx1"/>
                  </w14:solidFill>
                </w14:textFill>
              </w:rPr>
              <w:t>产品投资本金没有风险，产品收益可以实现预期目标或实现预期目标的概率很高；或者产品虽然不保障本金，但是产品净值波动率很低、流动性很强，本金发生损失的概率很小。</w:t>
            </w:r>
          </w:p>
        </w:tc>
        <w:tc>
          <w:tcPr>
            <w:tcW w:w="1713" w:type="dxa"/>
            <w:vAlign w:val="center"/>
          </w:tcPr>
          <w:p>
            <w:pPr>
              <w:keepNext w:val="0"/>
              <w:keepLines w:val="0"/>
              <w:suppressLineNumbers w:val="0"/>
              <w:spacing w:before="0" w:beforeAutospacing="0" w:after="0" w:afterAutospacing="0"/>
              <w:ind w:left="0" w:right="0"/>
              <w:rPr>
                <w:rFonts w:hint="default"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lang w:val="en-US" w:eastAsia="zh-CN"/>
                <w14:textFill>
                  <w14:solidFill>
                    <w14:schemeClr w14:val="tx1"/>
                  </w14:solidFill>
                </w14:textFill>
              </w:rPr>
              <w:t>保守型、谨慎型、稳健型、进取型、激进型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atLeast"/>
          <w:jc w:val="center"/>
        </w:trPr>
        <w:tc>
          <w:tcPr>
            <w:tcW w:w="1325" w:type="dxa"/>
            <w:vAlign w:val="center"/>
          </w:tcPr>
          <w:p>
            <w:pPr>
              <w:keepNext w:val="0"/>
              <w:keepLines w:val="0"/>
              <w:suppressLineNumbers w:val="0"/>
              <w:spacing w:before="0" w:beforeAutospacing="0" w:after="0" w:afterAutospacing="0"/>
              <w:ind w:left="0" w:right="0"/>
              <w:jc w:val="center"/>
              <w:rPr>
                <w:rFonts w:hint="default"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lang w:val="en-US" w:eastAsia="zh-CN"/>
                <w14:textFill>
                  <w14:solidFill>
                    <w14:schemeClr w14:val="tx1"/>
                  </w14:solidFill>
                </w14:textFill>
              </w:rPr>
              <w:t>较低风险级别（2级）</w:t>
            </w:r>
          </w:p>
        </w:tc>
        <w:tc>
          <w:tcPr>
            <w:tcW w:w="5311" w:type="dxa"/>
            <w:vAlign w:val="center"/>
          </w:tcPr>
          <w:p>
            <w:pPr>
              <w:keepNext w:val="0"/>
              <w:keepLines w:val="0"/>
              <w:suppressLineNumbers w:val="0"/>
              <w:spacing w:before="0" w:beforeAutospacing="0" w:after="0" w:afterAutospacing="0"/>
              <w:ind w:left="0" w:right="0"/>
              <w:rPr>
                <w:rFonts w:hint="default"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lang w:val="en-US" w:eastAsia="zh-CN"/>
                <w14:textFill>
                  <w14:solidFill>
                    <w14:schemeClr w14:val="tx1"/>
                  </w14:solidFill>
                </w14:textFill>
              </w:rPr>
              <w:t>到期时本金不保证、收益不确定，本金亏损的概率低，业绩比较基准不能实现的概率较低或者产品净值波动率较低，总体风险较小</w:t>
            </w:r>
          </w:p>
        </w:tc>
        <w:tc>
          <w:tcPr>
            <w:tcW w:w="1713" w:type="dxa"/>
            <w:vAlign w:val="center"/>
          </w:tcPr>
          <w:p>
            <w:pPr>
              <w:keepNext w:val="0"/>
              <w:keepLines w:val="0"/>
              <w:suppressLineNumbers w:val="0"/>
              <w:spacing w:before="0" w:beforeAutospacing="0" w:after="0" w:afterAutospacing="0"/>
              <w:ind w:left="0" w:right="0"/>
              <w:rPr>
                <w:rFonts w:hint="default"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lang w:val="en-US" w:eastAsia="zh-CN"/>
                <w14:textFill>
                  <w14:solidFill>
                    <w14:schemeClr w14:val="tx1"/>
                  </w14:solidFill>
                </w14:textFill>
              </w:rPr>
              <w:t>谨慎型、稳健型、进取型、激进型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atLeast"/>
          <w:jc w:val="center"/>
        </w:trPr>
        <w:tc>
          <w:tcPr>
            <w:tcW w:w="1325" w:type="dxa"/>
            <w:vAlign w:val="center"/>
          </w:tcPr>
          <w:p>
            <w:pPr>
              <w:keepNext w:val="0"/>
              <w:keepLines w:val="0"/>
              <w:suppressLineNumbers w:val="0"/>
              <w:spacing w:before="0" w:beforeAutospacing="0" w:after="0" w:afterAutospacing="0"/>
              <w:ind w:left="0" w:right="0"/>
              <w:jc w:val="center"/>
              <w:rPr>
                <w:rFonts w:hint="default"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lang w:val="en-US" w:eastAsia="zh-CN"/>
                <w14:textFill>
                  <w14:solidFill>
                    <w14:schemeClr w14:val="tx1"/>
                  </w14:solidFill>
                </w14:textFill>
              </w:rPr>
              <w:t>中等风险级别（3级）</w:t>
            </w:r>
          </w:p>
        </w:tc>
        <w:tc>
          <w:tcPr>
            <w:tcW w:w="5311" w:type="dxa"/>
            <w:vAlign w:val="center"/>
          </w:tcPr>
          <w:p>
            <w:pPr>
              <w:keepNext w:val="0"/>
              <w:keepLines w:val="0"/>
              <w:suppressLineNumbers w:val="0"/>
              <w:spacing w:before="0" w:beforeAutospacing="0" w:after="0" w:afterAutospacing="0"/>
              <w:ind w:left="0" w:right="0"/>
              <w:rPr>
                <w:rFonts w:hint="default"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lang w:val="en-US" w:eastAsia="zh-CN"/>
                <w14:textFill>
                  <w14:solidFill>
                    <w14:schemeClr w14:val="tx1"/>
                  </w14:solidFill>
                </w14:textFill>
              </w:rPr>
              <w:t>产品到期时本金不保证、收益不确定，本金亏损的概率低，业绩比较基准实现的不确定性较大或者产品净值波动率较高，总体风险中等。</w:t>
            </w:r>
          </w:p>
        </w:tc>
        <w:tc>
          <w:tcPr>
            <w:tcW w:w="1713" w:type="dxa"/>
            <w:vAlign w:val="center"/>
          </w:tcPr>
          <w:p>
            <w:pPr>
              <w:keepNext w:val="0"/>
              <w:keepLines w:val="0"/>
              <w:suppressLineNumbers w:val="0"/>
              <w:spacing w:before="0" w:beforeAutospacing="0" w:after="0" w:afterAutospacing="0"/>
              <w:ind w:left="0" w:right="0"/>
              <w:rPr>
                <w:rFonts w:hint="default"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lang w:val="en-US" w:eastAsia="zh-CN"/>
                <w14:textFill>
                  <w14:solidFill>
                    <w14:schemeClr w14:val="tx1"/>
                  </w14:solidFill>
                </w14:textFill>
              </w:rPr>
              <w:t>稳健型、进取型、激进型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atLeast"/>
          <w:jc w:val="center"/>
        </w:trPr>
        <w:tc>
          <w:tcPr>
            <w:tcW w:w="1325" w:type="dxa"/>
            <w:vAlign w:val="center"/>
          </w:tcPr>
          <w:p>
            <w:pPr>
              <w:keepNext w:val="0"/>
              <w:keepLines w:val="0"/>
              <w:suppressLineNumbers w:val="0"/>
              <w:spacing w:before="0" w:beforeAutospacing="0" w:after="0" w:afterAutospacing="0"/>
              <w:ind w:left="0" w:right="0"/>
              <w:jc w:val="center"/>
              <w:rPr>
                <w:rFonts w:hint="default"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lang w:val="en-US" w:eastAsia="zh-CN"/>
                <w14:textFill>
                  <w14:solidFill>
                    <w14:schemeClr w14:val="tx1"/>
                  </w14:solidFill>
                </w14:textFill>
              </w:rPr>
              <w:t>较大风险级别（4级）</w:t>
            </w:r>
          </w:p>
        </w:tc>
        <w:tc>
          <w:tcPr>
            <w:tcW w:w="5311" w:type="dxa"/>
            <w:vAlign w:val="center"/>
          </w:tcPr>
          <w:p>
            <w:pPr>
              <w:keepNext w:val="0"/>
              <w:keepLines w:val="0"/>
              <w:suppressLineNumbers w:val="0"/>
              <w:spacing w:before="0" w:beforeAutospacing="0" w:after="0" w:afterAutospacing="0"/>
              <w:ind w:left="0" w:right="0"/>
              <w:rPr>
                <w:rFonts w:hint="default"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lang w:val="en-US" w:eastAsia="zh-CN"/>
                <w14:textFill>
                  <w14:solidFill>
                    <w14:schemeClr w14:val="tx1"/>
                  </w14:solidFill>
                </w14:textFill>
              </w:rPr>
              <w:t>产品到期时本金不保证、收益不确定，本金亏损的概率较高，业绩比较基准实现的不确定性大，或者产品净值波动率高，总体风险较大。</w:t>
            </w:r>
          </w:p>
        </w:tc>
        <w:tc>
          <w:tcPr>
            <w:tcW w:w="1713" w:type="dxa"/>
            <w:vAlign w:val="center"/>
          </w:tcPr>
          <w:p>
            <w:pPr>
              <w:keepNext w:val="0"/>
              <w:keepLines w:val="0"/>
              <w:suppressLineNumbers w:val="0"/>
              <w:spacing w:before="0" w:beforeAutospacing="0" w:after="0" w:afterAutospacing="0"/>
              <w:ind w:left="0" w:right="0"/>
              <w:rPr>
                <w:rFonts w:hint="default"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lang w:val="en-US" w:eastAsia="zh-CN"/>
                <w14:textFill>
                  <w14:solidFill>
                    <w14:schemeClr w14:val="tx1"/>
                  </w14:solidFill>
                </w14:textFill>
              </w:rPr>
              <w:t>进取型、激进型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atLeast"/>
          <w:jc w:val="center"/>
        </w:trPr>
        <w:tc>
          <w:tcPr>
            <w:tcW w:w="1325" w:type="dxa"/>
            <w:vAlign w:val="center"/>
          </w:tcPr>
          <w:p>
            <w:pPr>
              <w:keepNext w:val="0"/>
              <w:keepLines w:val="0"/>
              <w:suppressLineNumbers w:val="0"/>
              <w:spacing w:before="0" w:beforeAutospacing="0" w:after="0" w:afterAutospacing="0"/>
              <w:ind w:left="0" w:right="0"/>
              <w:jc w:val="center"/>
              <w:rPr>
                <w:rFonts w:hint="eastAsia" w:ascii="宋体" w:hAnsi="宋体"/>
                <w:color w:val="000000" w:themeColor="text1"/>
                <w:sz w:val="18"/>
                <w:szCs w:val="18"/>
                <w:lang w:val="en-US" w:eastAsia="zh-CN"/>
                <w14:textFill>
                  <w14:solidFill>
                    <w14:schemeClr w14:val="tx1"/>
                  </w14:solidFill>
                </w14:textFill>
              </w:rPr>
            </w:pPr>
            <w:r>
              <w:rPr>
                <w:rFonts w:hint="eastAsia" w:ascii="宋体" w:hAnsi="宋体"/>
                <w:color w:val="000000" w:themeColor="text1"/>
                <w:sz w:val="18"/>
                <w:szCs w:val="18"/>
                <w:lang w:val="en-US" w:eastAsia="zh-CN"/>
                <w14:textFill>
                  <w14:solidFill>
                    <w14:schemeClr w14:val="tx1"/>
                  </w14:solidFill>
                </w14:textFill>
              </w:rPr>
              <w:t>高风险级别</w:t>
            </w:r>
          </w:p>
          <w:p>
            <w:pPr>
              <w:keepNext w:val="0"/>
              <w:keepLines w:val="0"/>
              <w:suppressLineNumbers w:val="0"/>
              <w:spacing w:before="0" w:beforeAutospacing="0" w:after="0" w:afterAutospacing="0"/>
              <w:ind w:left="0" w:right="0"/>
              <w:jc w:val="center"/>
              <w:rPr>
                <w:rFonts w:hint="default"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lang w:val="en-US" w:eastAsia="zh-CN"/>
                <w14:textFill>
                  <w14:solidFill>
                    <w14:schemeClr w14:val="tx1"/>
                  </w14:solidFill>
                </w14:textFill>
              </w:rPr>
              <w:t>（5级）</w:t>
            </w:r>
          </w:p>
        </w:tc>
        <w:tc>
          <w:tcPr>
            <w:tcW w:w="5311" w:type="dxa"/>
            <w:vAlign w:val="center"/>
          </w:tcPr>
          <w:p>
            <w:pPr>
              <w:keepNext w:val="0"/>
              <w:keepLines w:val="0"/>
              <w:suppressLineNumbers w:val="0"/>
              <w:spacing w:before="0" w:beforeAutospacing="0" w:after="0" w:afterAutospacing="0"/>
              <w:ind w:left="0" w:right="0"/>
              <w:rPr>
                <w:rFonts w:hint="default"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lang w:val="en-US" w:eastAsia="zh-CN"/>
                <w14:textFill>
                  <w14:solidFill>
                    <w14:schemeClr w14:val="tx1"/>
                  </w14:solidFill>
                </w14:textFill>
              </w:rPr>
              <w:t>产品结构复杂，到期本金不保证、收益不确定，到期时本金亏损概率高，业绩比较基准实现的不确定性很大，或者产品净值波动率很高，总体风险大。</w:t>
            </w:r>
          </w:p>
        </w:tc>
        <w:tc>
          <w:tcPr>
            <w:tcW w:w="1713" w:type="dxa"/>
            <w:vAlign w:val="center"/>
          </w:tcPr>
          <w:p>
            <w:pPr>
              <w:keepNext w:val="0"/>
              <w:keepLines w:val="0"/>
              <w:suppressLineNumbers w:val="0"/>
              <w:spacing w:before="0" w:beforeAutospacing="0" w:after="0" w:afterAutospacing="0"/>
              <w:ind w:left="0" w:right="0"/>
              <w:rPr>
                <w:rFonts w:hint="default"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lang w:val="en-US" w:eastAsia="zh-CN"/>
                <w14:textFill>
                  <w14:solidFill>
                    <w14:schemeClr w14:val="tx1"/>
                  </w14:solidFill>
                </w14:textFill>
              </w:rPr>
              <w:t>激进型</w:t>
            </w:r>
          </w:p>
        </w:tc>
      </w:tr>
    </w:tbl>
    <w:p>
      <w:pPr>
        <w:ind w:firstLine="360" w:firstLineChars="200"/>
        <w:rPr>
          <w:rFonts w:ascii="黑体" w:hAnsi="黑体" w:eastAsia="黑体"/>
          <w:sz w:val="18"/>
          <w:szCs w:val="18"/>
        </w:rPr>
      </w:pPr>
      <w:r>
        <w:rPr>
          <w:rFonts w:hint="eastAsia" w:ascii="黑体" w:hAnsi="黑体" w:eastAsia="黑体" w:cs="仿宋_GB2312"/>
          <w:bCs/>
          <w:kern w:val="0"/>
          <w:sz w:val="18"/>
          <w:szCs w:val="18"/>
        </w:rPr>
        <w:t>★</w:t>
      </w:r>
      <w:r>
        <w:rPr>
          <w:rFonts w:hint="eastAsia" w:ascii="黑体" w:hAnsi="黑体" w:eastAsia="黑体"/>
          <w:sz w:val="18"/>
          <w:szCs w:val="18"/>
        </w:rPr>
        <w:t>（二）针对“理财产品风险评级”、 “投资者风险承受能力”、“适合投资者类型”的不同划分与表述的特别提示</w:t>
      </w:r>
    </w:p>
    <w:p>
      <w:pPr>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w:t>
      </w:r>
      <w:r>
        <w:rPr>
          <w:rFonts w:hint="eastAsia" w:ascii="黑体" w:hAnsi="黑体" w:eastAsia="黑体"/>
          <w:sz w:val="18"/>
          <w:szCs w:val="18"/>
        </w:rPr>
        <w:t>销售机构在销售本产品时，其对“理财产品风险评级”、“投资者风险承受能力”、“适合投资者类型”等级的划分与表述可能与产品管理人存在差异，即采用销售机构设置的标准。</w:t>
      </w:r>
    </w:p>
    <w:p>
      <w:pPr>
        <w:ind w:firstLine="360" w:firstLineChars="200"/>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销售机构应以书面的方式向投资者明示其对“理财产品风险评级”、“投资者风险承受能力等级”的划分与“适合投资者类型”的表述。</w:t>
      </w:r>
    </w:p>
    <w:p>
      <w:pPr>
        <w:ind w:firstLine="361" w:firstLineChars="200"/>
        <w:rPr>
          <w:rFonts w:ascii="宋体" w:hAnsi="宋体"/>
          <w:b/>
          <w:sz w:val="18"/>
          <w:szCs w:val="18"/>
        </w:rPr>
      </w:pPr>
      <w:r>
        <w:rPr>
          <w:rFonts w:hint="eastAsia" w:ascii="宋体" w:hAnsi="宋体"/>
          <w:b/>
          <w:sz w:val="18"/>
          <w:szCs w:val="18"/>
        </w:rPr>
        <w:t>三、关于理财产品的信息披露</w:t>
      </w:r>
    </w:p>
    <w:p>
      <w:pPr>
        <w:ind w:firstLine="360" w:firstLineChars="200"/>
        <w:rPr>
          <w:rFonts w:asciiTheme="minorEastAsia" w:hAnsiTheme="minorEastAsia"/>
          <w:sz w:val="18"/>
          <w:szCs w:val="18"/>
        </w:rPr>
      </w:pPr>
      <w:r>
        <w:rPr>
          <w:rFonts w:hint="eastAsia" w:ascii="宋体" w:hAnsi="宋体"/>
          <w:bCs/>
          <w:sz w:val="18"/>
          <w:szCs w:val="18"/>
        </w:rPr>
        <w:t>理财产品的信息披露将通过产品管理人或销售机构的门户网站、电子销售渠道或营业网点等进行。</w:t>
      </w:r>
      <w:r>
        <w:rPr>
          <w:rFonts w:asciiTheme="minorEastAsia" w:hAnsiTheme="minorEastAsia"/>
          <w:sz w:val="18"/>
          <w:szCs w:val="18"/>
        </w:rPr>
        <w:t>具体</w:t>
      </w:r>
      <w:r>
        <w:rPr>
          <w:rFonts w:hint="eastAsia" w:asciiTheme="minorEastAsia" w:hAnsiTheme="minorEastAsia"/>
          <w:sz w:val="18"/>
          <w:szCs w:val="18"/>
        </w:rPr>
        <w:t>信息披露的方式、渠道和频率等</w:t>
      </w:r>
      <w:r>
        <w:rPr>
          <w:rFonts w:asciiTheme="minorEastAsia" w:hAnsiTheme="minorEastAsia"/>
          <w:sz w:val="18"/>
          <w:szCs w:val="18"/>
        </w:rPr>
        <w:t>以《产品说明书》中“信息披露</w:t>
      </w:r>
      <w:r>
        <w:rPr>
          <w:rFonts w:hint="eastAsia" w:asciiTheme="minorEastAsia" w:hAnsiTheme="minorEastAsia"/>
          <w:sz w:val="18"/>
          <w:szCs w:val="18"/>
        </w:rPr>
        <w:t>”约定为准。</w:t>
      </w:r>
    </w:p>
    <w:p>
      <w:pPr>
        <w:ind w:firstLine="361" w:firstLineChars="200"/>
        <w:rPr>
          <w:rFonts w:asciiTheme="minorEastAsia" w:hAnsiTheme="minorEastAsia"/>
          <w:b/>
          <w:sz w:val="18"/>
          <w:szCs w:val="18"/>
        </w:rPr>
      </w:pPr>
      <w:r>
        <w:rPr>
          <w:rFonts w:hint="eastAsia" w:ascii="宋体" w:hAnsi="宋体"/>
          <w:b/>
          <w:sz w:val="18"/>
          <w:szCs w:val="18"/>
        </w:rPr>
        <w:t>四、关于投诉与建议</w:t>
      </w:r>
    </w:p>
    <w:p>
      <w:pPr>
        <w:ind w:firstLine="360" w:firstLineChars="200"/>
        <w:rPr>
          <w:rFonts w:ascii="宋体" w:hAnsi="宋体"/>
          <w:sz w:val="18"/>
          <w:szCs w:val="18"/>
        </w:rPr>
      </w:pPr>
      <w:r>
        <w:rPr>
          <w:rFonts w:hint="eastAsia" w:ascii="宋体" w:hAnsi="宋体"/>
          <w:sz w:val="18"/>
          <w:szCs w:val="18"/>
        </w:rPr>
        <w:t>（一）</w:t>
      </w:r>
      <w:r>
        <w:rPr>
          <w:rFonts w:hint="eastAsia" w:asciiTheme="minorEastAsia" w:hAnsiTheme="minorEastAsia"/>
          <w:sz w:val="18"/>
          <w:szCs w:val="18"/>
        </w:rPr>
        <w:t>您对本产品有任何意见或异议，可向产品管理人或</w:t>
      </w:r>
      <w:r>
        <w:rPr>
          <w:rFonts w:hint="eastAsia" w:ascii="宋体" w:hAnsi="宋体"/>
          <w:sz w:val="18"/>
          <w:szCs w:val="18"/>
        </w:rPr>
        <w:t>销售机构</w:t>
      </w:r>
      <w:r>
        <w:rPr>
          <w:rFonts w:hint="eastAsia" w:asciiTheme="minorEastAsia" w:hAnsiTheme="minorEastAsia"/>
          <w:sz w:val="18"/>
          <w:szCs w:val="18"/>
        </w:rPr>
        <w:t>反馈</w:t>
      </w:r>
      <w:r>
        <w:rPr>
          <w:rFonts w:hint="eastAsia" w:ascii="宋体" w:hAnsi="宋体"/>
          <w:sz w:val="18"/>
          <w:szCs w:val="18"/>
        </w:rPr>
        <w:t>，产品管理人或销售机构将由专人接听、记录您的意见或建议，并由各方协商共同解决。</w:t>
      </w:r>
    </w:p>
    <w:p>
      <w:pPr>
        <w:ind w:firstLine="360" w:firstLineChars="200"/>
        <w:rPr>
          <w:rFonts w:ascii="宋体" w:hAnsi="宋体"/>
          <w:sz w:val="18"/>
          <w:szCs w:val="18"/>
        </w:rPr>
      </w:pPr>
      <w:r>
        <w:rPr>
          <w:rFonts w:hint="eastAsia" w:ascii="宋体" w:hAnsi="宋体"/>
          <w:sz w:val="18"/>
          <w:szCs w:val="18"/>
        </w:rPr>
        <w:t>（二）联络方式</w:t>
      </w:r>
      <w:r>
        <w:rPr>
          <w:rFonts w:ascii="宋体" w:hAnsi="宋体"/>
          <w:sz w:val="18"/>
          <w:szCs w:val="18"/>
        </w:rPr>
        <w:t xml:space="preserve"> </w:t>
      </w:r>
    </w:p>
    <w:p>
      <w:pPr>
        <w:ind w:firstLine="360" w:firstLineChars="200"/>
        <w:rPr>
          <w:rFonts w:ascii="宋体" w:hAnsi="宋体"/>
          <w:sz w:val="18"/>
          <w:szCs w:val="18"/>
        </w:rPr>
      </w:pPr>
      <w:r>
        <w:rPr>
          <w:rFonts w:hint="eastAsia" w:ascii="宋体" w:hAnsi="宋体"/>
          <w:sz w:val="18"/>
          <w:szCs w:val="18"/>
        </w:rPr>
        <w:t>1、产品管理人：兴银理财有限责任公司</w:t>
      </w:r>
    </w:p>
    <w:p>
      <w:pPr>
        <w:ind w:firstLine="360" w:firstLineChars="200"/>
        <w:rPr>
          <w:rFonts w:ascii="宋体" w:hAnsi="宋体"/>
          <w:sz w:val="18"/>
          <w:szCs w:val="18"/>
        </w:rPr>
      </w:pPr>
      <w:r>
        <w:rPr>
          <w:rFonts w:hint="eastAsia" w:ascii="宋体" w:hAnsi="宋体"/>
          <w:sz w:val="18"/>
          <w:szCs w:val="18"/>
        </w:rPr>
        <w:t>客户服务热线：40015-95561。</w:t>
      </w:r>
    </w:p>
    <w:p>
      <w:pPr>
        <w:spacing w:line="280" w:lineRule="atLeast"/>
        <w:ind w:firstLine="360" w:firstLineChars="200"/>
        <w:rPr>
          <w:rFonts w:ascii="宋体" w:hAnsi="宋体"/>
          <w:sz w:val="18"/>
          <w:szCs w:val="18"/>
        </w:rPr>
      </w:pPr>
      <w:r>
        <w:rPr>
          <w:rFonts w:hint="eastAsia" w:ascii="宋体" w:hAnsi="宋体"/>
          <w:sz w:val="18"/>
          <w:szCs w:val="18"/>
        </w:rPr>
        <w:t>2、</w:t>
      </w:r>
      <w:r>
        <w:rPr>
          <w:rFonts w:ascii="宋体" w:hAnsi="宋体"/>
          <w:sz w:val="18"/>
          <w:szCs w:val="18"/>
        </w:rPr>
        <w:t>销售机构</w:t>
      </w:r>
      <w:r>
        <w:rPr>
          <w:rFonts w:hint="eastAsia" w:ascii="宋体" w:hAnsi="宋体"/>
          <w:sz w:val="18"/>
          <w:szCs w:val="18"/>
        </w:rPr>
        <w:t>：兴业银行股份有限公司</w:t>
      </w:r>
    </w:p>
    <w:p>
      <w:pPr>
        <w:spacing w:line="280" w:lineRule="atLeast"/>
        <w:ind w:firstLine="360" w:firstLineChars="200"/>
        <w:rPr>
          <w:rFonts w:ascii="宋体" w:hAnsi="宋体"/>
          <w:sz w:val="18"/>
          <w:szCs w:val="18"/>
        </w:rPr>
      </w:pPr>
      <w:r>
        <w:rPr>
          <w:rFonts w:hint="eastAsia" w:ascii="宋体" w:hAnsi="宋体"/>
          <w:sz w:val="18"/>
          <w:szCs w:val="18"/>
        </w:rPr>
        <w:t>兴业银行理财经理或兴业银行各营业网点。</w:t>
      </w:r>
    </w:p>
    <w:p>
      <w:pPr>
        <w:spacing w:line="280" w:lineRule="atLeast"/>
        <w:ind w:firstLine="360" w:firstLineChars="200"/>
        <w:rPr>
          <w:rFonts w:ascii="宋体" w:hAnsi="宋体"/>
          <w:sz w:val="18"/>
          <w:szCs w:val="18"/>
        </w:rPr>
      </w:pPr>
      <w:r>
        <w:rPr>
          <w:rFonts w:ascii="宋体" w:hAnsi="宋体"/>
          <w:sz w:val="18"/>
          <w:szCs w:val="18"/>
        </w:rPr>
        <w:t>兴业银行</w:t>
      </w:r>
      <w:r>
        <w:rPr>
          <w:rFonts w:hint="eastAsia" w:ascii="宋体" w:hAnsi="宋体"/>
          <w:sz w:val="18"/>
          <w:szCs w:val="18"/>
        </w:rPr>
        <w:t>客户投诉电话：【</w:t>
      </w:r>
      <w:r>
        <w:rPr>
          <w:rFonts w:asciiTheme="minorEastAsia" w:hAnsiTheme="minorEastAsia"/>
          <w:sz w:val="18"/>
          <w:szCs w:val="18"/>
        </w:rPr>
        <w:t>95561</w:t>
      </w:r>
      <w:r>
        <w:rPr>
          <w:rFonts w:hint="eastAsia" w:ascii="宋体" w:hAnsi="宋体"/>
          <w:sz w:val="18"/>
          <w:szCs w:val="18"/>
        </w:rPr>
        <w:t>】。</w:t>
      </w:r>
    </w:p>
    <w:p>
      <w:pPr>
        <w:spacing w:line="280" w:lineRule="atLeast"/>
        <w:ind w:firstLine="360" w:firstLineChars="200"/>
        <w:rPr>
          <w:rFonts w:ascii="宋体" w:hAnsi="宋体"/>
          <w:sz w:val="18"/>
          <w:szCs w:val="18"/>
        </w:rPr>
      </w:pPr>
      <w:r>
        <w:rPr>
          <w:rFonts w:hint="eastAsia" w:ascii="宋体" w:hAnsi="宋体"/>
          <w:sz w:val="18"/>
          <w:szCs w:val="18"/>
        </w:rPr>
        <w:t>兴业银行总行消费者投诉受理邮箱：【9</w:t>
      </w:r>
      <w:r>
        <w:rPr>
          <w:rFonts w:ascii="宋体" w:hAnsi="宋体"/>
          <w:sz w:val="18"/>
          <w:szCs w:val="18"/>
        </w:rPr>
        <w:t>5561</w:t>
      </w:r>
      <w:r>
        <w:rPr>
          <w:rFonts w:hint="eastAsia" w:ascii="宋体" w:hAnsi="宋体"/>
          <w:sz w:val="18"/>
          <w:szCs w:val="18"/>
        </w:rPr>
        <w:t>@</w:t>
      </w:r>
      <w:r>
        <w:rPr>
          <w:rFonts w:asciiTheme="minorEastAsia" w:hAnsiTheme="minorEastAsia"/>
          <w:sz w:val="18"/>
          <w:szCs w:val="18"/>
        </w:rPr>
        <w:t>cib.com.cn</w:t>
      </w:r>
      <w:r>
        <w:rPr>
          <w:rFonts w:hint="eastAsia" w:ascii="宋体" w:hAnsi="宋体"/>
          <w:sz w:val="18"/>
          <w:szCs w:val="18"/>
        </w:rPr>
        <w:t>】。</w:t>
      </w:r>
    </w:p>
    <w:p>
      <w:pPr>
        <w:numPr>
          <w:ilvl w:val="0"/>
          <w:numId w:val="0"/>
        </w:numPr>
        <w:autoSpaceDE w:val="0"/>
        <w:autoSpaceDN w:val="0"/>
        <w:adjustRightInd w:val="0"/>
        <w:spacing w:line="280" w:lineRule="atLeast"/>
        <w:ind w:left="357" w:leftChars="170" w:firstLine="0" w:firstLineChars="0"/>
        <w:jc w:val="left"/>
        <w:rPr>
          <w:rFonts w:hint="default" w:ascii="宋体" w:hAnsi="宋体" w:eastAsia="宋体"/>
          <w:sz w:val="18"/>
          <w:szCs w:val="18"/>
          <w:lang w:val="en-US" w:eastAsia="zh-CN"/>
        </w:rPr>
      </w:pPr>
      <w:r>
        <w:rPr>
          <w:rFonts w:hint="eastAsia" w:ascii="宋体" w:hAnsi="宋体"/>
          <w:sz w:val="18"/>
          <w:szCs w:val="18"/>
        </w:rPr>
        <w:t>3、销售机构：通过【福建</w:t>
      </w:r>
      <w:r>
        <w:rPr>
          <w:rFonts w:hint="eastAsia" w:ascii="宋体" w:hAnsi="宋体"/>
          <w:sz w:val="18"/>
          <w:szCs w:val="18"/>
          <w:lang w:val="en-US" w:eastAsia="zh-CN"/>
        </w:rPr>
        <w:t>海峡银行股份有限公司</w:t>
      </w:r>
      <w:r>
        <w:rPr>
          <w:rFonts w:hint="eastAsia" w:ascii="宋体" w:hAnsi="宋体"/>
          <w:sz w:val="18"/>
          <w:szCs w:val="18"/>
        </w:rPr>
        <w:t>】（作为销售服务机构）购买本产品的，请联系【福建</w:t>
      </w:r>
      <w:r>
        <w:rPr>
          <w:rFonts w:hint="eastAsia" w:ascii="宋体" w:hAnsi="宋体"/>
          <w:sz w:val="18"/>
          <w:szCs w:val="18"/>
          <w:lang w:val="en-US" w:eastAsia="zh-CN"/>
        </w:rPr>
        <w:t>海峡银行股份有限公司</w:t>
      </w:r>
      <w:r>
        <w:rPr>
          <w:rFonts w:hint="eastAsia" w:ascii="宋体" w:hAnsi="宋体"/>
          <w:sz w:val="18"/>
          <w:szCs w:val="18"/>
        </w:rPr>
        <w:t>】，【福建</w:t>
      </w:r>
      <w:r>
        <w:rPr>
          <w:rFonts w:hint="eastAsia" w:ascii="宋体" w:hAnsi="宋体"/>
          <w:sz w:val="18"/>
          <w:szCs w:val="18"/>
          <w:lang w:val="en-US" w:eastAsia="zh-CN"/>
        </w:rPr>
        <w:t>海峡银行股份有限公司</w:t>
      </w:r>
      <w:r>
        <w:rPr>
          <w:rFonts w:hint="eastAsia" w:ascii="宋体" w:hAnsi="宋体"/>
          <w:sz w:val="18"/>
          <w:szCs w:val="18"/>
        </w:rPr>
        <w:t>】客户服务热线：【</w:t>
      </w:r>
      <w:r>
        <w:rPr>
          <w:rFonts w:hint="eastAsia" w:ascii="宋体" w:hAnsi="宋体"/>
          <w:sz w:val="18"/>
          <w:szCs w:val="18"/>
          <w:lang w:val="en-US" w:eastAsia="zh-CN"/>
        </w:rPr>
        <w:t>400-893-9999</w:t>
      </w:r>
      <w:r>
        <w:rPr>
          <w:rFonts w:hint="eastAsia" w:ascii="宋体" w:hAnsi="宋体"/>
          <w:sz w:val="18"/>
          <w:szCs w:val="18"/>
        </w:rPr>
        <w:t>】；【福建</w:t>
      </w:r>
      <w:r>
        <w:rPr>
          <w:rFonts w:hint="eastAsia" w:ascii="宋体" w:hAnsi="宋体"/>
          <w:sz w:val="18"/>
          <w:szCs w:val="18"/>
          <w:lang w:val="en-US" w:eastAsia="zh-CN"/>
        </w:rPr>
        <w:t>海峡银行股份有限公司</w:t>
      </w:r>
      <w:r>
        <w:rPr>
          <w:rFonts w:hint="eastAsia" w:ascii="宋体" w:hAnsi="宋体"/>
          <w:sz w:val="18"/>
          <w:szCs w:val="18"/>
        </w:rPr>
        <w:t>】门户网站：【www.</w:t>
      </w:r>
      <w:r>
        <w:rPr>
          <w:rFonts w:hint="eastAsia" w:ascii="宋体" w:hAnsi="宋体"/>
          <w:sz w:val="18"/>
          <w:szCs w:val="18"/>
          <w:lang w:val="en-US" w:eastAsia="zh-CN"/>
        </w:rPr>
        <w:t>fjhxbank.</w:t>
      </w:r>
      <w:r>
        <w:rPr>
          <w:rFonts w:hint="eastAsia" w:ascii="宋体" w:hAnsi="宋体"/>
          <w:sz w:val="18"/>
          <w:szCs w:val="18"/>
        </w:rPr>
        <w:t>com】。</w:t>
      </w:r>
    </w:p>
    <w:bookmarkEnd w:id="236"/>
    <w:p>
      <w:pPr>
        <w:jc w:val="right"/>
        <w:rPr>
          <w:rFonts w:ascii="宋体" w:hAnsi="宋体"/>
          <w:sz w:val="18"/>
          <w:szCs w:val="18"/>
        </w:rPr>
      </w:pPr>
    </w:p>
    <w:p>
      <w:pPr>
        <w:ind w:right="84" w:rightChars="40"/>
        <w:jc w:val="right"/>
        <w:rPr>
          <w:rFonts w:ascii="宋体" w:hAnsi="宋体"/>
          <w:sz w:val="18"/>
          <w:szCs w:val="18"/>
        </w:rPr>
      </w:pPr>
      <w:r>
        <w:rPr>
          <w:rFonts w:ascii="宋体" w:hAnsi="宋体"/>
          <w:sz w:val="18"/>
          <w:szCs w:val="18"/>
        </w:rPr>
        <w:t xml:space="preserve"> </w:t>
      </w:r>
    </w:p>
    <w:p>
      <w:pPr>
        <w:widowControl/>
        <w:jc w:val="left"/>
        <w:rPr>
          <w:rFonts w:ascii="宋体" w:hAnsi="宋体"/>
          <w:b/>
          <w:sz w:val="28"/>
          <w:szCs w:val="28"/>
        </w:rPr>
      </w:pPr>
      <w:r>
        <w:rPr>
          <w:rFonts w:ascii="宋体" w:hAnsi="宋体"/>
          <w:b/>
          <w:sz w:val="28"/>
          <w:szCs w:val="28"/>
        </w:rPr>
        <w:br w:type="page"/>
      </w:r>
    </w:p>
    <w:p>
      <w:pPr>
        <w:adjustRightInd w:val="0"/>
        <w:spacing w:line="280" w:lineRule="atLeast"/>
        <w:jc w:val="center"/>
        <w:rPr>
          <w:rStyle w:val="12"/>
          <w:rFonts w:ascii="黑体" w:hAnsi="黑体" w:eastAsia="黑体"/>
          <w:sz w:val="28"/>
          <w:szCs w:val="28"/>
        </w:rPr>
      </w:pPr>
      <w:r>
        <w:rPr>
          <w:rStyle w:val="12"/>
          <w:rFonts w:hint="eastAsia" w:ascii="黑体" w:hAnsi="黑体" w:eastAsia="黑体"/>
          <w:sz w:val="28"/>
          <w:szCs w:val="28"/>
        </w:rPr>
        <w:t>兴银理财【天天万利宝稳利净值型】理财产品</w:t>
      </w:r>
    </w:p>
    <w:p>
      <w:pPr>
        <w:adjustRightInd w:val="0"/>
        <w:spacing w:line="280" w:lineRule="atLeast"/>
        <w:jc w:val="center"/>
        <w:rPr>
          <w:rStyle w:val="12"/>
          <w:rFonts w:ascii="黑体" w:hAnsi="黑体" w:eastAsia="黑体"/>
          <w:sz w:val="28"/>
          <w:szCs w:val="28"/>
        </w:rPr>
      </w:pPr>
      <w:r>
        <w:rPr>
          <w:rStyle w:val="12"/>
          <w:rFonts w:hint="eastAsia" w:ascii="黑体" w:hAnsi="黑体" w:eastAsia="黑体"/>
          <w:sz w:val="28"/>
          <w:szCs w:val="28"/>
        </w:rPr>
        <w:t>投资者权益须知</w:t>
      </w:r>
    </w:p>
    <w:p>
      <w:pPr>
        <w:pStyle w:val="18"/>
        <w:spacing w:line="280" w:lineRule="atLeast"/>
        <w:jc w:val="center"/>
        <w:rPr>
          <w:rFonts w:hAnsi="宋体"/>
          <w:b/>
          <w:color w:val="auto"/>
          <w:sz w:val="28"/>
          <w:szCs w:val="28"/>
        </w:rPr>
      </w:pPr>
      <w:r>
        <w:rPr>
          <w:rFonts w:hint="eastAsia" w:hAnsi="宋体"/>
          <w:b/>
          <w:color w:val="auto"/>
          <w:sz w:val="28"/>
          <w:szCs w:val="28"/>
        </w:rPr>
        <w:t>（适用于机构投资者：</w:t>
      </w:r>
      <w:r>
        <w:rPr>
          <w:rFonts w:hAnsi="宋体"/>
          <w:b/>
          <w:color w:val="auto"/>
          <w:sz w:val="28"/>
          <w:szCs w:val="28"/>
        </w:rPr>
        <w:t>一般机构客户</w:t>
      </w:r>
      <w:r>
        <w:rPr>
          <w:rFonts w:hint="eastAsia" w:hAnsi="宋体"/>
          <w:b/>
          <w:color w:val="auto"/>
          <w:sz w:val="28"/>
          <w:szCs w:val="28"/>
        </w:rPr>
        <w:t>）</w:t>
      </w:r>
    </w:p>
    <w:p>
      <w:pPr>
        <w:spacing w:line="280" w:lineRule="atLeast"/>
        <w:rPr>
          <w:rFonts w:ascii="宋体" w:hAnsi="宋体"/>
          <w:b/>
          <w:sz w:val="18"/>
          <w:szCs w:val="18"/>
        </w:rPr>
      </w:pPr>
      <w:r>
        <w:rPr>
          <w:rFonts w:hint="eastAsia" w:ascii="宋体" w:hAnsi="宋体"/>
          <w:b/>
          <w:sz w:val="18"/>
          <w:szCs w:val="18"/>
        </w:rPr>
        <w:t>尊敬的投资者：</w:t>
      </w:r>
    </w:p>
    <w:p>
      <w:pPr>
        <w:spacing w:line="320" w:lineRule="exact"/>
        <w:ind w:firstLine="360" w:firstLineChars="200"/>
        <w:jc w:val="left"/>
        <w:rPr>
          <w:rFonts w:hint="eastAsia" w:ascii="宋体" w:hAnsi="宋体"/>
          <w:sz w:val="18"/>
          <w:szCs w:val="18"/>
          <w:lang w:eastAsia="zh-CN"/>
        </w:rPr>
      </w:pPr>
      <w:r>
        <w:rPr>
          <w:rFonts w:hint="eastAsia" w:ascii="宋体" w:hAnsi="宋体"/>
          <w:sz w:val="18"/>
          <w:szCs w:val="18"/>
          <w:lang w:eastAsia="zh-CN"/>
        </w:rPr>
        <w:t>感谢您通过销售机构【】以(□ 直销：产品管理人销售/□ 代销：代理销售机构销售)的形式购买兴银理财有限责任公司（以下简称“兴银理财”）作为产品管理人管理的理财产品。</w:t>
      </w:r>
    </w:p>
    <w:p>
      <w:pPr>
        <w:spacing w:line="320" w:lineRule="exact"/>
        <w:ind w:firstLine="360" w:firstLineChars="200"/>
        <w:jc w:val="left"/>
        <w:rPr>
          <w:rFonts w:ascii="宋体" w:hAnsi="宋体"/>
          <w:sz w:val="18"/>
          <w:szCs w:val="18"/>
        </w:rPr>
      </w:pPr>
      <w:r>
        <w:rPr>
          <w:rFonts w:hint="eastAsia" w:ascii="宋体" w:hAnsi="宋体"/>
          <w:sz w:val="18"/>
          <w:szCs w:val="18"/>
        </w:rPr>
        <w:t>请仔细阅读本《投资者权益须知》，行使您在本业务项下的权益。</w:t>
      </w:r>
      <w:r>
        <w:rPr>
          <w:rFonts w:ascii="宋体" w:hAnsi="宋体"/>
          <w:sz w:val="18"/>
          <w:szCs w:val="18"/>
        </w:rPr>
        <w:t xml:space="preserve"> </w:t>
      </w:r>
    </w:p>
    <w:p>
      <w:pPr>
        <w:spacing w:line="280" w:lineRule="atLeast"/>
        <w:ind w:firstLine="360" w:firstLineChars="200"/>
        <w:rPr>
          <w:rFonts w:ascii="宋体" w:hAnsi="宋体"/>
          <w:sz w:val="18"/>
          <w:szCs w:val="18"/>
        </w:rPr>
      </w:pPr>
    </w:p>
    <w:p>
      <w:pPr>
        <w:spacing w:line="280" w:lineRule="atLeast"/>
        <w:ind w:firstLine="361" w:firstLineChars="200"/>
        <w:rPr>
          <w:rFonts w:ascii="宋体" w:hAnsi="宋体"/>
          <w:b/>
          <w:sz w:val="18"/>
          <w:szCs w:val="18"/>
        </w:rPr>
      </w:pPr>
      <w:r>
        <w:rPr>
          <w:rFonts w:hint="eastAsia" w:ascii="宋体" w:hAnsi="宋体"/>
          <w:b/>
          <w:sz w:val="18"/>
          <w:szCs w:val="18"/>
        </w:rPr>
        <w:t>一、理财产品购买流程</w:t>
      </w:r>
    </w:p>
    <w:p>
      <w:pPr>
        <w:spacing w:line="280" w:lineRule="atLeast"/>
        <w:ind w:firstLine="360" w:firstLineChars="200"/>
        <w:rPr>
          <w:rFonts w:ascii="宋体" w:hAnsi="宋体"/>
          <w:sz w:val="18"/>
          <w:szCs w:val="18"/>
        </w:rPr>
      </w:pPr>
      <w:r>
        <w:rPr>
          <w:rFonts w:hint="eastAsia" w:ascii="宋体" w:hAnsi="宋体"/>
          <w:sz w:val="18"/>
          <w:szCs w:val="18"/>
        </w:rPr>
        <w:t>（一）</w:t>
      </w:r>
      <w:r>
        <w:rPr>
          <w:rFonts w:ascii="宋体" w:hAnsi="宋体"/>
          <w:sz w:val="18"/>
          <w:szCs w:val="18"/>
        </w:rPr>
        <w:t>开立或持有</w:t>
      </w:r>
      <w:r>
        <w:rPr>
          <w:rFonts w:hint="eastAsia" w:ascii="宋体" w:hAnsi="宋体"/>
          <w:sz w:val="18"/>
          <w:szCs w:val="18"/>
        </w:rPr>
        <w:t>销售机构</w:t>
      </w:r>
      <w:r>
        <w:rPr>
          <w:rFonts w:ascii="宋体" w:hAnsi="宋体"/>
          <w:sz w:val="18"/>
          <w:szCs w:val="18"/>
        </w:rPr>
        <w:t>账户，该账户用于本产品的理财资金划转及</w:t>
      </w:r>
      <w:r>
        <w:rPr>
          <w:rFonts w:hint="eastAsia" w:ascii="宋体" w:hAnsi="宋体"/>
          <w:sz w:val="18"/>
          <w:szCs w:val="18"/>
        </w:rPr>
        <w:t>分配</w:t>
      </w:r>
      <w:r>
        <w:rPr>
          <w:rFonts w:ascii="宋体" w:hAnsi="宋体"/>
          <w:sz w:val="18"/>
          <w:szCs w:val="18"/>
        </w:rPr>
        <w:t>，您应确保持有本产品期间所指定账户不做销户。</w:t>
      </w:r>
    </w:p>
    <w:p>
      <w:pPr>
        <w:spacing w:line="280" w:lineRule="atLeast"/>
        <w:ind w:firstLine="360" w:firstLineChars="200"/>
        <w:rPr>
          <w:rFonts w:ascii="宋体" w:hAnsi="宋体"/>
          <w:sz w:val="18"/>
          <w:szCs w:val="18"/>
        </w:rPr>
      </w:pPr>
      <w:r>
        <w:rPr>
          <w:rFonts w:hint="eastAsia" w:ascii="宋体" w:hAnsi="宋体"/>
          <w:sz w:val="18"/>
          <w:szCs w:val="18"/>
        </w:rPr>
        <w:t>（二）</w:t>
      </w:r>
      <w:r>
        <w:rPr>
          <w:rFonts w:ascii="宋体" w:hAnsi="宋体"/>
          <w:sz w:val="18"/>
          <w:szCs w:val="18"/>
        </w:rPr>
        <w:t>接受并完成</w:t>
      </w:r>
      <w:r>
        <w:rPr>
          <w:rFonts w:hint="eastAsia" w:ascii="宋体" w:hAnsi="宋体"/>
          <w:sz w:val="18"/>
          <w:szCs w:val="18"/>
        </w:rPr>
        <w:t>销售机构</w:t>
      </w:r>
      <w:r>
        <w:rPr>
          <w:rFonts w:ascii="宋体" w:hAnsi="宋体"/>
          <w:sz w:val="18"/>
          <w:szCs w:val="18"/>
        </w:rPr>
        <w:t>对您的风险承受能力评估，并根据风险评估结果选择适合的产品。</w:t>
      </w:r>
      <w:r>
        <w:rPr>
          <w:rFonts w:hint="eastAsia" w:ascii="宋体" w:hAnsi="宋体"/>
          <w:sz w:val="18"/>
          <w:szCs w:val="18"/>
        </w:rPr>
        <w:t>若销售机构对您风险承受能力评估事宜另有安排的，以销售机构政策为准。</w:t>
      </w:r>
    </w:p>
    <w:p>
      <w:pPr>
        <w:spacing w:line="280" w:lineRule="atLeast"/>
        <w:ind w:firstLine="360" w:firstLineChars="200"/>
        <w:rPr>
          <w:rFonts w:ascii="宋体" w:hAnsi="宋体"/>
          <w:sz w:val="18"/>
          <w:szCs w:val="18"/>
        </w:rPr>
      </w:pPr>
      <w:r>
        <w:rPr>
          <w:rFonts w:hint="eastAsia" w:ascii="宋体" w:hAnsi="宋体"/>
          <w:sz w:val="18"/>
          <w:szCs w:val="18"/>
        </w:rPr>
        <w:t>（三）</w:t>
      </w:r>
      <w:r>
        <w:rPr>
          <w:rFonts w:ascii="宋体" w:hAnsi="宋体"/>
          <w:sz w:val="18"/>
          <w:szCs w:val="18"/>
        </w:rPr>
        <w:t>请仔细阅读《</w:t>
      </w:r>
      <w:r>
        <w:rPr>
          <w:rFonts w:hint="eastAsia" w:ascii="宋体" w:hAnsi="宋体"/>
          <w:sz w:val="18"/>
          <w:szCs w:val="18"/>
        </w:rPr>
        <w:t>投资</w:t>
      </w:r>
      <w:r>
        <w:rPr>
          <w:rFonts w:ascii="宋体" w:hAnsi="宋体"/>
          <w:sz w:val="18"/>
          <w:szCs w:val="18"/>
        </w:rPr>
        <w:t>协议书》、《产品说明书》、</w:t>
      </w:r>
      <w:r>
        <w:rPr>
          <w:rFonts w:hint="eastAsia" w:ascii="宋体" w:hAnsi="宋体"/>
          <w:sz w:val="18"/>
          <w:szCs w:val="18"/>
        </w:rPr>
        <w:t>《（代理）销售</w:t>
      </w:r>
      <w:r>
        <w:rPr>
          <w:rFonts w:ascii="宋体" w:hAnsi="宋体"/>
          <w:sz w:val="18"/>
          <w:szCs w:val="18"/>
        </w:rPr>
        <w:t>协议书</w:t>
      </w:r>
      <w:r>
        <w:rPr>
          <w:rFonts w:hint="eastAsia" w:ascii="宋体" w:hAnsi="宋体"/>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pPr>
        <w:ind w:firstLine="360" w:firstLineChars="200"/>
        <w:rPr>
          <w:rFonts w:ascii="宋体" w:hAnsi="宋体"/>
          <w:sz w:val="18"/>
          <w:szCs w:val="18"/>
        </w:rPr>
      </w:pPr>
      <w:r>
        <w:rPr>
          <w:rFonts w:hint="eastAsia" w:ascii="宋体" w:hAnsi="宋体"/>
          <w:sz w:val="18"/>
          <w:szCs w:val="18"/>
        </w:rPr>
        <w:t>（四）销售机构营业网点或电子银行（包括但不限于网上银行、电话银行和手机银行）均可办理理财产品的购买手续，具体以代销机构情况为准。若产品管理人根据产品风险等级和市场情况确定发售渠道的，代销机构将按产品管理人要求执行。</w:t>
      </w:r>
    </w:p>
    <w:p>
      <w:pPr>
        <w:spacing w:line="280" w:lineRule="atLeast"/>
        <w:ind w:firstLine="361" w:firstLineChars="200"/>
        <w:rPr>
          <w:rFonts w:ascii="宋体" w:hAnsi="宋体"/>
          <w:b/>
          <w:sz w:val="18"/>
          <w:szCs w:val="18"/>
        </w:rPr>
      </w:pPr>
      <w:r>
        <w:rPr>
          <w:rFonts w:hint="eastAsia" w:ascii="宋体" w:hAnsi="宋体"/>
          <w:b/>
          <w:sz w:val="18"/>
          <w:szCs w:val="18"/>
        </w:rPr>
        <w:t>二、投资者风险承受能力与产品风险评级</w:t>
      </w:r>
    </w:p>
    <w:p>
      <w:pPr>
        <w:spacing w:line="280" w:lineRule="atLeast"/>
        <w:ind w:firstLine="361" w:firstLineChars="200"/>
        <w:rPr>
          <w:rFonts w:ascii="宋体" w:hAnsi="宋体"/>
          <w:b/>
          <w:sz w:val="18"/>
          <w:szCs w:val="18"/>
        </w:rPr>
      </w:pPr>
      <w:r>
        <w:rPr>
          <w:rFonts w:hint="eastAsia" w:ascii="宋体" w:hAnsi="宋体"/>
          <w:b/>
          <w:sz w:val="18"/>
          <w:szCs w:val="18"/>
        </w:rPr>
        <w:t>（一）投资者风险承受能力评估说明</w:t>
      </w:r>
    </w:p>
    <w:p>
      <w:pPr>
        <w:spacing w:line="280" w:lineRule="atLeas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 xml:space="preserve"> </w:t>
      </w:r>
      <w:r>
        <w:rPr>
          <w:rFonts w:hint="eastAsia" w:ascii="宋体" w:hAnsi="宋体"/>
          <w:sz w:val="18"/>
          <w:szCs w:val="18"/>
        </w:rPr>
        <w:t>您购买理财产品前，应确保已完成风险承受能力评估且风险评估结果在有效期内。理财销售管理系统会记录投资者身份信息及风险评估结果信息。该评估结果有效期一年，并将作为评价您是否适合购买理财产品的重要因素。您可以通过销售机构</w:t>
      </w:r>
      <w:r>
        <w:rPr>
          <w:rFonts w:ascii="宋体" w:hAnsi="宋体"/>
          <w:sz w:val="18"/>
          <w:szCs w:val="18"/>
        </w:rPr>
        <w:t>线下渠道</w:t>
      </w:r>
      <w:r>
        <w:rPr>
          <w:rFonts w:hint="eastAsia" w:ascii="宋体" w:hAnsi="宋体"/>
          <w:sz w:val="18"/>
          <w:szCs w:val="18"/>
        </w:rPr>
        <w:t>或</w:t>
      </w:r>
      <w:r>
        <w:rPr>
          <w:rFonts w:ascii="宋体" w:hAnsi="宋体"/>
          <w:sz w:val="18"/>
          <w:szCs w:val="18"/>
        </w:rPr>
        <w:t>线上渠道</w:t>
      </w:r>
      <w:r>
        <w:rPr>
          <w:rFonts w:hint="eastAsia" w:ascii="宋体" w:hAnsi="宋体"/>
          <w:sz w:val="18"/>
          <w:szCs w:val="18"/>
        </w:rPr>
        <w:t>进行风险承受能力持续评估。</w:t>
      </w:r>
      <w:r>
        <w:rPr>
          <w:rFonts w:hint="eastAsia" w:ascii="宋体" w:hAnsi="宋体"/>
          <w:b/>
          <w:sz w:val="18"/>
          <w:szCs w:val="18"/>
        </w:rPr>
        <w:t>如影响您风险承受能力的因素发生变化，请您及时重新完成风险承受能力评估。</w:t>
      </w:r>
    </w:p>
    <w:p>
      <w:pPr>
        <w:ind w:firstLine="361" w:firstLineChars="200"/>
        <w:rPr>
          <w:rFonts w:ascii="宋体" w:hAnsi="宋体"/>
          <w:b/>
          <w:sz w:val="18"/>
          <w:szCs w:val="18"/>
        </w:rPr>
      </w:pPr>
      <w:r>
        <w:rPr>
          <w:rFonts w:ascii="宋体" w:hAnsi="宋体"/>
          <w:b/>
          <w:sz w:val="18"/>
          <w:szCs w:val="18"/>
        </w:rPr>
        <w:t>2</w:t>
      </w:r>
      <w:r>
        <w:rPr>
          <w:rFonts w:hint="eastAsia" w:ascii="宋体" w:hAnsi="宋体"/>
          <w:b/>
          <w:sz w:val="18"/>
          <w:szCs w:val="18"/>
        </w:rPr>
        <w:t>. 投资者风险承受能力评级与理财产品风险评级</w:t>
      </w:r>
    </w:p>
    <w:p>
      <w:pPr>
        <w:ind w:firstLine="360" w:firstLineChars="200"/>
        <w:rPr>
          <w:rFonts w:ascii="宋体" w:hAnsi="宋体"/>
          <w:sz w:val="18"/>
          <w:szCs w:val="18"/>
        </w:rPr>
      </w:pPr>
      <w:r>
        <w:rPr>
          <w:rFonts w:hint="eastAsia" w:ascii="宋体" w:hAnsi="宋体"/>
          <w:sz w:val="18"/>
          <w:szCs w:val="18"/>
        </w:rPr>
        <w:t>销售机构</w:t>
      </w:r>
      <w:r>
        <w:rPr>
          <w:rFonts w:ascii="宋体" w:hAnsi="宋体"/>
          <w:sz w:val="18"/>
          <w:szCs w:val="18"/>
        </w:rPr>
        <w:t>根据</w:t>
      </w:r>
      <w:r>
        <w:rPr>
          <w:rFonts w:hint="eastAsia" w:ascii="宋体" w:hAnsi="宋体"/>
          <w:sz w:val="18"/>
          <w:szCs w:val="18"/>
        </w:rPr>
        <w:t>投资者风险承受能力，机构投资者由低至高分为【】</w:t>
      </w:r>
      <w:r>
        <w:rPr>
          <w:rFonts w:ascii="宋体" w:hAnsi="宋体"/>
          <w:sz w:val="18"/>
          <w:szCs w:val="18"/>
        </w:rPr>
        <w:t>。其中，</w:t>
      </w:r>
      <w:r>
        <w:rPr>
          <w:rFonts w:hint="eastAsia" w:ascii="宋体" w:hAnsi="宋体"/>
          <w:sz w:val="18"/>
          <w:szCs w:val="18"/>
        </w:rPr>
        <w:t>【】</w:t>
      </w:r>
      <w:r>
        <w:rPr>
          <w:rFonts w:ascii="宋体" w:hAnsi="宋体"/>
          <w:sz w:val="18"/>
          <w:szCs w:val="18"/>
        </w:rPr>
        <w:t>为风险承受能力最低类别，</w:t>
      </w:r>
      <w:r>
        <w:rPr>
          <w:rFonts w:hint="eastAsia" w:ascii="宋体" w:hAnsi="宋体"/>
          <w:sz w:val="18"/>
          <w:szCs w:val="18"/>
        </w:rPr>
        <w:t>【】</w:t>
      </w:r>
      <w:r>
        <w:rPr>
          <w:rFonts w:ascii="宋体" w:hAnsi="宋体"/>
          <w:sz w:val="18"/>
          <w:szCs w:val="18"/>
        </w:rPr>
        <w:t>为风险承受能力最高类别。</w:t>
      </w:r>
      <w:r>
        <w:rPr>
          <w:rFonts w:hint="eastAsia" w:ascii="宋体" w:hAnsi="宋体"/>
          <w:sz w:val="18"/>
          <w:szCs w:val="18"/>
        </w:rPr>
        <w:t>投资者根据其风险承受能力评级购买对应的理财产品。</w:t>
      </w:r>
      <w:r>
        <w:rPr>
          <w:rFonts w:ascii="宋体" w:hAnsi="宋体"/>
          <w:sz w:val="18"/>
          <w:szCs w:val="18"/>
        </w:rPr>
        <w:t>投资者风险承受能力评级类型与适合购买的理财产品的对应关系为：</w:t>
      </w:r>
    </w:p>
    <w:tbl>
      <w:tblPr>
        <w:tblStyle w:val="9"/>
        <w:tblW w:w="8482"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777"/>
        <w:gridCol w:w="4840"/>
        <w:gridCol w:w="286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61" w:hRule="atLeast"/>
          <w:jc w:val="center"/>
        </w:trPr>
        <w:tc>
          <w:tcPr>
            <w:tcW w:w="5617" w:type="dxa"/>
            <w:gridSpan w:val="2"/>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理财产品风险评级及风险评级说明</w:t>
            </w:r>
          </w:p>
        </w:tc>
        <w:tc>
          <w:tcPr>
            <w:tcW w:w="2865" w:type="dxa"/>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对应的投资者风险承受能力评级</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r>
    </w:tbl>
    <w:p>
      <w:pPr>
        <w:ind w:firstLine="360" w:firstLineChars="200"/>
        <w:rPr>
          <w:rFonts w:ascii="黑体" w:hAnsi="黑体" w:eastAsia="黑体"/>
          <w:sz w:val="18"/>
          <w:szCs w:val="18"/>
        </w:rPr>
      </w:pPr>
      <w:r>
        <w:rPr>
          <w:rFonts w:hint="eastAsia" w:ascii="黑体" w:hAnsi="黑体" w:eastAsia="黑体" w:cs="仿宋_GB2312"/>
          <w:bCs/>
          <w:kern w:val="0"/>
          <w:sz w:val="18"/>
          <w:szCs w:val="18"/>
        </w:rPr>
        <w:t>★</w:t>
      </w:r>
      <w:r>
        <w:rPr>
          <w:rFonts w:hint="eastAsia" w:ascii="黑体" w:hAnsi="黑体" w:eastAsia="黑体"/>
          <w:sz w:val="18"/>
          <w:szCs w:val="18"/>
        </w:rPr>
        <w:t>（二）针对“理财产品风险评级”、 “投资者风险承受能力”、“适合投资者类型”的不同划分与表述的特别提示</w:t>
      </w:r>
    </w:p>
    <w:p>
      <w:pPr>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w:t>
      </w:r>
      <w:r>
        <w:rPr>
          <w:rFonts w:hint="eastAsia" w:ascii="黑体" w:hAnsi="黑体" w:eastAsia="黑体"/>
          <w:sz w:val="18"/>
          <w:szCs w:val="18"/>
        </w:rPr>
        <w:t>销售机构在销售本产品时，其对“理财产品风险评级”、“投资者风险承受能力”、“适合投资者类型”等级的划分与表述可能与产品管理人存在差异，即采用销售机构设置的标准。</w:t>
      </w:r>
    </w:p>
    <w:p>
      <w:pPr>
        <w:ind w:firstLine="360" w:firstLineChars="200"/>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销售机构应以书面的方式向投资者明示其对“理财产品风险评级”、“投资者风险承受能力等级”的划分与“适合投资者类型”的表述。</w:t>
      </w:r>
    </w:p>
    <w:p>
      <w:pPr>
        <w:spacing w:line="280" w:lineRule="atLeast"/>
        <w:ind w:firstLine="361" w:firstLineChars="200"/>
        <w:rPr>
          <w:rFonts w:ascii="宋体" w:hAnsi="宋体"/>
          <w:b/>
          <w:sz w:val="18"/>
          <w:szCs w:val="18"/>
        </w:rPr>
      </w:pPr>
      <w:r>
        <w:rPr>
          <w:rFonts w:hint="eastAsia" w:ascii="宋体" w:hAnsi="宋体"/>
          <w:b/>
          <w:sz w:val="18"/>
          <w:szCs w:val="18"/>
        </w:rPr>
        <w:t>三、关于理财产品的信息披露</w:t>
      </w:r>
    </w:p>
    <w:p>
      <w:pPr>
        <w:ind w:firstLine="360" w:firstLineChars="200"/>
        <w:rPr>
          <w:rFonts w:asciiTheme="minorEastAsia" w:hAnsiTheme="minorEastAsia"/>
          <w:sz w:val="18"/>
          <w:szCs w:val="18"/>
        </w:rPr>
      </w:pPr>
      <w:r>
        <w:rPr>
          <w:rFonts w:hint="eastAsia" w:ascii="宋体" w:hAnsi="宋体"/>
          <w:bCs/>
          <w:sz w:val="18"/>
          <w:szCs w:val="18"/>
        </w:rPr>
        <w:t>理财产品的信息披露将通过产品管理人或销售机构的门户网站、电子销售渠道或营业网点等进行。</w:t>
      </w:r>
      <w:r>
        <w:rPr>
          <w:rFonts w:asciiTheme="minorEastAsia" w:hAnsiTheme="minorEastAsia"/>
          <w:sz w:val="18"/>
          <w:szCs w:val="18"/>
        </w:rPr>
        <w:t>具体</w:t>
      </w:r>
      <w:r>
        <w:rPr>
          <w:rFonts w:hint="eastAsia" w:asciiTheme="minorEastAsia" w:hAnsiTheme="minorEastAsia"/>
          <w:sz w:val="18"/>
          <w:szCs w:val="18"/>
        </w:rPr>
        <w:t>信息披露的方式、渠道和频率等</w:t>
      </w:r>
      <w:r>
        <w:rPr>
          <w:rFonts w:asciiTheme="minorEastAsia" w:hAnsiTheme="minorEastAsia"/>
          <w:sz w:val="18"/>
          <w:szCs w:val="18"/>
        </w:rPr>
        <w:t>以《产品说明书》中“信息披露</w:t>
      </w:r>
      <w:r>
        <w:rPr>
          <w:rFonts w:hint="eastAsia" w:asciiTheme="minorEastAsia" w:hAnsiTheme="minorEastAsia"/>
          <w:sz w:val="18"/>
          <w:szCs w:val="18"/>
        </w:rPr>
        <w:t>”约定为准。</w:t>
      </w:r>
    </w:p>
    <w:p>
      <w:pPr>
        <w:spacing w:line="280" w:lineRule="atLeast"/>
        <w:ind w:firstLine="361" w:firstLineChars="200"/>
        <w:rPr>
          <w:rFonts w:asciiTheme="minorEastAsia" w:hAnsiTheme="minorEastAsia"/>
          <w:sz w:val="18"/>
          <w:szCs w:val="18"/>
        </w:rPr>
      </w:pPr>
      <w:r>
        <w:rPr>
          <w:rFonts w:hint="eastAsia" w:ascii="宋体" w:hAnsi="宋体"/>
          <w:b/>
          <w:sz w:val="18"/>
          <w:szCs w:val="18"/>
        </w:rPr>
        <w:t>四、关于投诉与建议</w:t>
      </w:r>
    </w:p>
    <w:p>
      <w:pPr>
        <w:spacing w:line="280" w:lineRule="atLeast"/>
        <w:ind w:firstLine="360" w:firstLineChars="200"/>
        <w:rPr>
          <w:rFonts w:ascii="宋体" w:hAnsi="宋体"/>
          <w:sz w:val="18"/>
          <w:szCs w:val="18"/>
        </w:rPr>
      </w:pPr>
      <w:r>
        <w:rPr>
          <w:rFonts w:hint="eastAsia" w:ascii="宋体" w:hAnsi="宋体"/>
          <w:sz w:val="18"/>
          <w:szCs w:val="18"/>
        </w:rPr>
        <w:t>（一）</w:t>
      </w:r>
      <w:r>
        <w:rPr>
          <w:rFonts w:hint="eastAsia" w:asciiTheme="minorEastAsia" w:hAnsiTheme="minorEastAsia"/>
          <w:sz w:val="18"/>
          <w:szCs w:val="18"/>
        </w:rPr>
        <w:t>您对本产品有任何意见或异议，可向产品管理人或</w:t>
      </w:r>
      <w:r>
        <w:rPr>
          <w:rFonts w:hint="eastAsia" w:ascii="宋体" w:hAnsi="宋体"/>
          <w:sz w:val="18"/>
          <w:szCs w:val="18"/>
        </w:rPr>
        <w:t>销售机构</w:t>
      </w:r>
      <w:r>
        <w:rPr>
          <w:rFonts w:hint="eastAsia" w:asciiTheme="minorEastAsia" w:hAnsiTheme="minorEastAsia"/>
          <w:sz w:val="18"/>
          <w:szCs w:val="18"/>
        </w:rPr>
        <w:t>反馈</w:t>
      </w:r>
      <w:r>
        <w:rPr>
          <w:rFonts w:hint="eastAsia" w:ascii="宋体" w:hAnsi="宋体"/>
          <w:sz w:val="18"/>
          <w:szCs w:val="18"/>
        </w:rPr>
        <w:t>，产品管理人或销售机构将由专人接听、记录您的意见或建议，并由各方协商共同解决。</w:t>
      </w:r>
    </w:p>
    <w:p>
      <w:pPr>
        <w:spacing w:line="280" w:lineRule="atLeast"/>
        <w:ind w:firstLine="360" w:firstLineChars="200"/>
        <w:rPr>
          <w:rFonts w:ascii="宋体" w:hAnsi="宋体"/>
          <w:sz w:val="18"/>
          <w:szCs w:val="18"/>
        </w:rPr>
      </w:pPr>
      <w:r>
        <w:rPr>
          <w:rFonts w:hint="eastAsia" w:ascii="宋体" w:hAnsi="宋体"/>
          <w:sz w:val="18"/>
          <w:szCs w:val="18"/>
        </w:rPr>
        <w:t>（二）联络方式：</w:t>
      </w:r>
    </w:p>
    <w:p>
      <w:pPr>
        <w:ind w:firstLine="360" w:firstLineChars="200"/>
        <w:rPr>
          <w:rFonts w:ascii="宋体" w:hAnsi="宋体"/>
          <w:sz w:val="18"/>
          <w:szCs w:val="18"/>
        </w:rPr>
      </w:pPr>
      <w:r>
        <w:rPr>
          <w:rFonts w:hint="eastAsia" w:ascii="宋体" w:hAnsi="宋体"/>
          <w:sz w:val="18"/>
          <w:szCs w:val="18"/>
        </w:rPr>
        <w:t>1、产品管理人：兴银理财有限责任公司</w:t>
      </w:r>
    </w:p>
    <w:p>
      <w:pPr>
        <w:ind w:firstLine="360" w:firstLineChars="200"/>
        <w:rPr>
          <w:rFonts w:ascii="宋体" w:hAnsi="宋体"/>
          <w:sz w:val="18"/>
          <w:szCs w:val="18"/>
        </w:rPr>
      </w:pPr>
      <w:r>
        <w:rPr>
          <w:rFonts w:hint="eastAsia" w:ascii="宋体" w:hAnsi="宋体"/>
          <w:sz w:val="18"/>
          <w:szCs w:val="18"/>
        </w:rPr>
        <w:t>客户服务热线：40015-95561。</w:t>
      </w:r>
    </w:p>
    <w:p>
      <w:pPr>
        <w:spacing w:line="280" w:lineRule="atLeast"/>
        <w:ind w:firstLine="360" w:firstLineChars="200"/>
        <w:rPr>
          <w:rFonts w:ascii="宋体" w:hAnsi="宋体"/>
          <w:sz w:val="18"/>
          <w:szCs w:val="18"/>
        </w:rPr>
      </w:pPr>
      <w:r>
        <w:rPr>
          <w:rFonts w:hint="eastAsia" w:ascii="宋体" w:hAnsi="宋体"/>
          <w:sz w:val="18"/>
          <w:szCs w:val="18"/>
        </w:rPr>
        <w:t>2、</w:t>
      </w:r>
      <w:r>
        <w:rPr>
          <w:rFonts w:ascii="宋体" w:hAnsi="宋体"/>
          <w:sz w:val="18"/>
          <w:szCs w:val="18"/>
        </w:rPr>
        <w:t>销售机构</w:t>
      </w:r>
      <w:r>
        <w:rPr>
          <w:rFonts w:hint="eastAsia" w:ascii="宋体" w:hAnsi="宋体"/>
          <w:sz w:val="18"/>
          <w:szCs w:val="18"/>
        </w:rPr>
        <w:t>：兴业银行股份有限公司</w:t>
      </w:r>
    </w:p>
    <w:p>
      <w:pPr>
        <w:spacing w:line="280" w:lineRule="atLeast"/>
        <w:ind w:firstLine="360" w:firstLineChars="200"/>
        <w:rPr>
          <w:rFonts w:ascii="宋体" w:hAnsi="宋体"/>
          <w:sz w:val="18"/>
          <w:szCs w:val="18"/>
        </w:rPr>
      </w:pPr>
      <w:r>
        <w:rPr>
          <w:rFonts w:hint="eastAsia" w:ascii="宋体" w:hAnsi="宋体"/>
          <w:sz w:val="18"/>
          <w:szCs w:val="18"/>
        </w:rPr>
        <w:t>兴业银行理财经理或兴业银行各营业网点。</w:t>
      </w:r>
    </w:p>
    <w:p>
      <w:pPr>
        <w:spacing w:line="280" w:lineRule="atLeast"/>
        <w:ind w:firstLine="360" w:firstLineChars="200"/>
        <w:rPr>
          <w:rFonts w:ascii="宋体" w:hAnsi="宋体"/>
          <w:sz w:val="18"/>
          <w:szCs w:val="18"/>
        </w:rPr>
      </w:pPr>
      <w:r>
        <w:rPr>
          <w:rFonts w:ascii="宋体" w:hAnsi="宋体"/>
          <w:sz w:val="18"/>
          <w:szCs w:val="18"/>
        </w:rPr>
        <w:t>兴业银行</w:t>
      </w:r>
      <w:r>
        <w:rPr>
          <w:rFonts w:hint="eastAsia" w:ascii="宋体" w:hAnsi="宋体"/>
          <w:sz w:val="18"/>
          <w:szCs w:val="18"/>
        </w:rPr>
        <w:t>客户投诉电话：【</w:t>
      </w:r>
      <w:r>
        <w:rPr>
          <w:rFonts w:asciiTheme="minorEastAsia" w:hAnsiTheme="minorEastAsia"/>
          <w:sz w:val="18"/>
          <w:szCs w:val="18"/>
        </w:rPr>
        <w:t>95561</w:t>
      </w:r>
      <w:r>
        <w:rPr>
          <w:rFonts w:hint="eastAsia" w:ascii="宋体" w:hAnsi="宋体"/>
          <w:sz w:val="18"/>
          <w:szCs w:val="18"/>
        </w:rPr>
        <w:t>】。</w:t>
      </w:r>
    </w:p>
    <w:p>
      <w:pPr>
        <w:spacing w:line="280" w:lineRule="atLeast"/>
        <w:ind w:firstLine="360" w:firstLineChars="200"/>
        <w:rPr>
          <w:rFonts w:ascii="宋体" w:hAnsi="宋体"/>
          <w:sz w:val="18"/>
          <w:szCs w:val="18"/>
        </w:rPr>
      </w:pPr>
      <w:r>
        <w:rPr>
          <w:rFonts w:hint="eastAsia" w:ascii="宋体" w:hAnsi="宋体"/>
          <w:sz w:val="18"/>
          <w:szCs w:val="18"/>
        </w:rPr>
        <w:t>兴业银行总行消费者投诉受理邮箱：【9</w:t>
      </w:r>
      <w:r>
        <w:rPr>
          <w:rFonts w:ascii="宋体" w:hAnsi="宋体"/>
          <w:sz w:val="18"/>
          <w:szCs w:val="18"/>
        </w:rPr>
        <w:t>5561</w:t>
      </w:r>
      <w:r>
        <w:rPr>
          <w:rFonts w:hint="eastAsia" w:ascii="宋体" w:hAnsi="宋体"/>
          <w:sz w:val="18"/>
          <w:szCs w:val="18"/>
        </w:rPr>
        <w:t>@</w:t>
      </w:r>
      <w:r>
        <w:rPr>
          <w:rFonts w:asciiTheme="minorEastAsia" w:hAnsiTheme="minorEastAsia"/>
          <w:sz w:val="18"/>
          <w:szCs w:val="18"/>
        </w:rPr>
        <w:t>cib.com.cn</w:t>
      </w:r>
      <w:r>
        <w:rPr>
          <w:rFonts w:hint="eastAsia" w:ascii="宋体" w:hAnsi="宋体"/>
          <w:sz w:val="18"/>
          <w:szCs w:val="18"/>
        </w:rPr>
        <w:t>】。</w:t>
      </w:r>
    </w:p>
    <w:p>
      <w:pPr>
        <w:ind w:firstLine="360" w:firstLineChars="200"/>
        <w:rPr>
          <w:rFonts w:ascii="宋体" w:hAnsi="宋体"/>
          <w:sz w:val="18"/>
          <w:szCs w:val="18"/>
        </w:rPr>
      </w:pPr>
      <w:r>
        <w:rPr>
          <w:rFonts w:hint="eastAsia" w:ascii="宋体" w:hAnsi="宋体"/>
          <w:sz w:val="18"/>
          <w:szCs w:val="18"/>
        </w:rPr>
        <w:t>3、销售机构：【】</w:t>
      </w:r>
    </w:p>
    <w:p>
      <w:pPr>
        <w:ind w:firstLine="360" w:firstLineChars="200"/>
        <w:rPr>
          <w:rFonts w:ascii="宋体" w:hAnsi="宋体"/>
          <w:sz w:val="18"/>
          <w:szCs w:val="18"/>
        </w:rPr>
      </w:pPr>
      <w:r>
        <w:rPr>
          <w:rFonts w:hint="eastAsia" w:ascii="宋体" w:hAnsi="宋体"/>
          <w:sz w:val="18"/>
          <w:szCs w:val="18"/>
        </w:rPr>
        <w:t>【】</w:t>
      </w:r>
    </w:p>
    <w:p>
      <w:pPr>
        <w:autoSpaceDE w:val="0"/>
        <w:autoSpaceDN w:val="0"/>
        <w:adjustRightInd w:val="0"/>
        <w:spacing w:line="280" w:lineRule="atLeast"/>
        <w:jc w:val="left"/>
        <w:rPr>
          <w:rFonts w:ascii="仿宋_GB2312" w:eastAsia="仿宋_GB2312" w:cs="仿宋_GB2312"/>
          <w:color w:val="000000"/>
          <w:kern w:val="0"/>
          <w:sz w:val="24"/>
          <w:szCs w:val="24"/>
        </w:rPr>
      </w:pPr>
    </w:p>
    <w:p>
      <w:pPr>
        <w:autoSpaceDE w:val="0"/>
        <w:autoSpaceDN w:val="0"/>
        <w:adjustRightInd w:val="0"/>
        <w:spacing w:line="280" w:lineRule="atLeast"/>
        <w:jc w:val="left"/>
        <w:rPr>
          <w:rFonts w:ascii="仿宋_GB2312" w:eastAsia="仿宋_GB2312" w:cs="仿宋_GB2312"/>
          <w:color w:val="000000"/>
          <w:kern w:val="0"/>
          <w:sz w:val="24"/>
          <w:szCs w:val="24"/>
        </w:rPr>
      </w:pPr>
    </w:p>
    <w:p>
      <w:pPr>
        <w:spacing w:line="280" w:lineRule="atLeast"/>
        <w:jc w:val="right"/>
        <w:rPr>
          <w:rFonts w:ascii="宋体" w:hAnsi="宋体"/>
          <w:sz w:val="18"/>
          <w:szCs w:val="18"/>
        </w:rPr>
      </w:pPr>
    </w:p>
    <w:p>
      <w:pPr>
        <w:spacing w:line="280" w:lineRule="atLeast"/>
        <w:ind w:right="84" w:rightChars="40"/>
        <w:jc w:val="right"/>
        <w:rPr>
          <w:rFonts w:ascii="宋体" w:hAnsi="宋体"/>
          <w:sz w:val="18"/>
          <w:szCs w:val="18"/>
        </w:rPr>
      </w:pPr>
    </w:p>
    <w:p>
      <w:pPr>
        <w:widowControl/>
        <w:spacing w:line="280" w:lineRule="atLeast"/>
        <w:jc w:val="left"/>
        <w:rPr>
          <w:rFonts w:ascii="宋体" w:hAnsi="宋体"/>
          <w:b/>
          <w:sz w:val="28"/>
          <w:szCs w:val="28"/>
        </w:rPr>
      </w:pPr>
      <w:r>
        <w:rPr>
          <w:rFonts w:ascii="宋体" w:hAnsi="宋体"/>
          <w:b/>
          <w:sz w:val="28"/>
          <w:szCs w:val="28"/>
        </w:rPr>
        <w:br w:type="page"/>
      </w:r>
    </w:p>
    <w:p>
      <w:pPr>
        <w:adjustRightInd w:val="0"/>
        <w:spacing w:line="276" w:lineRule="auto"/>
        <w:jc w:val="center"/>
        <w:rPr>
          <w:rStyle w:val="12"/>
          <w:rFonts w:ascii="黑体" w:hAnsi="黑体" w:eastAsia="黑体"/>
          <w:sz w:val="28"/>
          <w:szCs w:val="28"/>
        </w:rPr>
      </w:pPr>
      <w:r>
        <w:rPr>
          <w:rStyle w:val="12"/>
          <w:rFonts w:hint="eastAsia" w:ascii="黑体" w:hAnsi="黑体" w:eastAsia="黑体"/>
          <w:sz w:val="28"/>
          <w:szCs w:val="28"/>
        </w:rPr>
        <w:t>兴银理财【天天万利宝稳利净值型】理财产品</w:t>
      </w:r>
    </w:p>
    <w:p>
      <w:pPr>
        <w:adjustRightInd w:val="0"/>
        <w:spacing w:line="276" w:lineRule="auto"/>
        <w:jc w:val="center"/>
        <w:rPr>
          <w:rStyle w:val="12"/>
          <w:rFonts w:ascii="黑体" w:hAnsi="黑体" w:eastAsia="黑体"/>
          <w:sz w:val="28"/>
          <w:szCs w:val="28"/>
        </w:rPr>
      </w:pPr>
      <w:r>
        <w:rPr>
          <w:rStyle w:val="12"/>
          <w:rFonts w:hint="eastAsia" w:ascii="黑体" w:hAnsi="黑体" w:eastAsia="黑体"/>
          <w:sz w:val="28"/>
          <w:szCs w:val="28"/>
        </w:rPr>
        <w:t>投资者权益须知</w:t>
      </w:r>
    </w:p>
    <w:p>
      <w:pPr>
        <w:pStyle w:val="18"/>
        <w:jc w:val="center"/>
        <w:rPr>
          <w:rFonts w:hAnsi="宋体"/>
          <w:b/>
          <w:color w:val="auto"/>
          <w:sz w:val="28"/>
          <w:szCs w:val="28"/>
        </w:rPr>
      </w:pPr>
      <w:r>
        <w:rPr>
          <w:rFonts w:hint="eastAsia" w:hAnsi="宋体"/>
          <w:b/>
          <w:color w:val="auto"/>
          <w:sz w:val="28"/>
          <w:szCs w:val="28"/>
        </w:rPr>
        <w:t>（适用于机构投资者：金融</w:t>
      </w:r>
      <w:r>
        <w:rPr>
          <w:rFonts w:hAnsi="宋体"/>
          <w:b/>
          <w:color w:val="auto"/>
          <w:sz w:val="28"/>
          <w:szCs w:val="28"/>
        </w:rPr>
        <w:t>同业客户</w:t>
      </w:r>
      <w:r>
        <w:rPr>
          <w:rFonts w:hint="eastAsia" w:hAnsi="宋体"/>
          <w:b/>
          <w:color w:val="auto"/>
          <w:sz w:val="28"/>
          <w:szCs w:val="28"/>
        </w:rPr>
        <w:t>）</w:t>
      </w:r>
    </w:p>
    <w:p>
      <w:pPr>
        <w:rPr>
          <w:rFonts w:ascii="宋体" w:hAnsi="宋体"/>
          <w:b/>
          <w:sz w:val="18"/>
          <w:szCs w:val="18"/>
        </w:rPr>
      </w:pPr>
      <w:r>
        <w:rPr>
          <w:rFonts w:hint="eastAsia" w:ascii="宋体" w:hAnsi="宋体"/>
          <w:b/>
          <w:sz w:val="18"/>
          <w:szCs w:val="18"/>
        </w:rPr>
        <w:t>尊敬的投资者：</w:t>
      </w:r>
    </w:p>
    <w:p>
      <w:pPr>
        <w:spacing w:line="320" w:lineRule="exact"/>
        <w:ind w:firstLine="360" w:firstLineChars="200"/>
        <w:jc w:val="left"/>
        <w:rPr>
          <w:rFonts w:hint="eastAsia" w:ascii="宋体" w:hAnsi="宋体"/>
          <w:sz w:val="18"/>
          <w:szCs w:val="18"/>
          <w:lang w:eastAsia="zh-CN"/>
        </w:rPr>
      </w:pPr>
      <w:r>
        <w:rPr>
          <w:rFonts w:hint="eastAsia" w:ascii="宋体" w:hAnsi="宋体"/>
          <w:sz w:val="18"/>
          <w:szCs w:val="18"/>
          <w:lang w:eastAsia="zh-CN"/>
        </w:rPr>
        <w:t>感谢您通过销售机构【】以(□ 直销：产品管理人销售/□ 代销：代理销售机构销售)的形式购买兴银理财有限责任公司（以下简称“兴银理财”）作为产品管理人管理的理财产品。</w:t>
      </w:r>
    </w:p>
    <w:p>
      <w:pPr>
        <w:spacing w:line="320" w:lineRule="exact"/>
        <w:ind w:firstLine="360" w:firstLineChars="200"/>
        <w:jc w:val="left"/>
        <w:rPr>
          <w:rFonts w:ascii="宋体" w:hAnsi="宋体"/>
          <w:sz w:val="18"/>
          <w:szCs w:val="18"/>
        </w:rPr>
      </w:pPr>
      <w:r>
        <w:rPr>
          <w:rFonts w:hint="eastAsia" w:ascii="宋体" w:hAnsi="宋体"/>
          <w:sz w:val="18"/>
          <w:szCs w:val="18"/>
        </w:rPr>
        <w:t>请仔细阅读本《投资者权益须知》，行使您在本业务项下的权益。</w:t>
      </w:r>
      <w:r>
        <w:rPr>
          <w:rFonts w:ascii="宋体" w:hAnsi="宋体"/>
          <w:sz w:val="18"/>
          <w:szCs w:val="18"/>
        </w:rPr>
        <w:t xml:space="preserve"> </w:t>
      </w:r>
    </w:p>
    <w:p>
      <w:pPr>
        <w:ind w:firstLine="361" w:firstLineChars="200"/>
        <w:rPr>
          <w:rFonts w:ascii="宋体" w:hAnsi="宋体"/>
          <w:b/>
          <w:sz w:val="18"/>
          <w:szCs w:val="18"/>
        </w:rPr>
      </w:pPr>
    </w:p>
    <w:p>
      <w:pPr>
        <w:ind w:firstLine="361" w:firstLineChars="200"/>
        <w:rPr>
          <w:rFonts w:ascii="宋体" w:hAnsi="宋体"/>
          <w:b/>
          <w:sz w:val="18"/>
          <w:szCs w:val="18"/>
        </w:rPr>
      </w:pPr>
      <w:r>
        <w:rPr>
          <w:rFonts w:hint="eastAsia" w:ascii="宋体" w:hAnsi="宋体"/>
          <w:b/>
          <w:sz w:val="18"/>
          <w:szCs w:val="18"/>
        </w:rPr>
        <w:t>一、理财产品购买流程</w:t>
      </w:r>
    </w:p>
    <w:p>
      <w:pPr>
        <w:spacing w:line="280" w:lineRule="atLeast"/>
        <w:ind w:firstLine="360" w:firstLineChars="200"/>
        <w:rPr>
          <w:rFonts w:ascii="宋体" w:hAnsi="宋体"/>
          <w:sz w:val="18"/>
          <w:szCs w:val="18"/>
        </w:rPr>
      </w:pPr>
      <w:r>
        <w:rPr>
          <w:rFonts w:hint="eastAsia" w:ascii="宋体" w:hAnsi="宋体"/>
          <w:sz w:val="18"/>
          <w:szCs w:val="18"/>
        </w:rPr>
        <w:t>（一）</w:t>
      </w:r>
      <w:r>
        <w:rPr>
          <w:rFonts w:ascii="宋体" w:hAnsi="宋体"/>
          <w:sz w:val="18"/>
          <w:szCs w:val="18"/>
        </w:rPr>
        <w:t>开立或持有</w:t>
      </w:r>
      <w:r>
        <w:rPr>
          <w:rFonts w:hint="eastAsia" w:ascii="宋体" w:hAnsi="宋体"/>
          <w:sz w:val="18"/>
          <w:szCs w:val="18"/>
        </w:rPr>
        <w:t>销售机构</w:t>
      </w:r>
      <w:r>
        <w:rPr>
          <w:rFonts w:ascii="宋体" w:hAnsi="宋体"/>
          <w:sz w:val="18"/>
          <w:szCs w:val="18"/>
        </w:rPr>
        <w:t>账户，该账户用于本产品的理财资金划转及</w:t>
      </w:r>
      <w:r>
        <w:rPr>
          <w:rFonts w:hint="eastAsia" w:ascii="宋体" w:hAnsi="宋体"/>
          <w:sz w:val="18"/>
          <w:szCs w:val="18"/>
        </w:rPr>
        <w:t>分配</w:t>
      </w:r>
      <w:r>
        <w:rPr>
          <w:rFonts w:ascii="宋体" w:hAnsi="宋体"/>
          <w:sz w:val="18"/>
          <w:szCs w:val="18"/>
        </w:rPr>
        <w:t>，您应确保持有本产品期间所指定账户不做销户。</w:t>
      </w:r>
    </w:p>
    <w:p>
      <w:pPr>
        <w:spacing w:line="280" w:lineRule="atLeast"/>
        <w:ind w:firstLine="360" w:firstLineChars="200"/>
        <w:rPr>
          <w:rFonts w:ascii="宋体" w:hAnsi="宋体"/>
          <w:sz w:val="18"/>
          <w:szCs w:val="18"/>
        </w:rPr>
      </w:pPr>
      <w:r>
        <w:rPr>
          <w:rFonts w:hint="eastAsia" w:ascii="宋体" w:hAnsi="宋体"/>
          <w:sz w:val="18"/>
          <w:szCs w:val="18"/>
        </w:rPr>
        <w:t>（二）</w:t>
      </w:r>
      <w:r>
        <w:rPr>
          <w:rFonts w:ascii="宋体" w:hAnsi="宋体"/>
          <w:sz w:val="18"/>
          <w:szCs w:val="18"/>
        </w:rPr>
        <w:t>接受并完成</w:t>
      </w:r>
      <w:r>
        <w:rPr>
          <w:rFonts w:hint="eastAsia" w:ascii="宋体" w:hAnsi="宋体"/>
          <w:sz w:val="18"/>
          <w:szCs w:val="18"/>
        </w:rPr>
        <w:t>销售机构</w:t>
      </w:r>
      <w:r>
        <w:rPr>
          <w:rFonts w:ascii="宋体" w:hAnsi="宋体"/>
          <w:sz w:val="18"/>
          <w:szCs w:val="18"/>
        </w:rPr>
        <w:t>对您的风险承受能力评估，并根据风险评估结果选择适合的产品。</w:t>
      </w:r>
      <w:r>
        <w:rPr>
          <w:rFonts w:hint="eastAsia" w:ascii="宋体" w:hAnsi="宋体"/>
          <w:sz w:val="18"/>
          <w:szCs w:val="18"/>
        </w:rPr>
        <w:t>若销售机构对您风险承受能力评估事宜另有安排的，以销售机构政策为准。</w:t>
      </w:r>
    </w:p>
    <w:p>
      <w:pPr>
        <w:spacing w:line="280" w:lineRule="atLeast"/>
        <w:ind w:firstLine="360" w:firstLineChars="200"/>
        <w:rPr>
          <w:rFonts w:ascii="宋体" w:hAnsi="宋体"/>
          <w:sz w:val="18"/>
          <w:szCs w:val="18"/>
        </w:rPr>
      </w:pPr>
      <w:r>
        <w:rPr>
          <w:rFonts w:hint="eastAsia" w:ascii="宋体" w:hAnsi="宋体"/>
          <w:sz w:val="18"/>
          <w:szCs w:val="18"/>
        </w:rPr>
        <w:t>（三）</w:t>
      </w:r>
      <w:r>
        <w:rPr>
          <w:rFonts w:ascii="宋体" w:hAnsi="宋体"/>
          <w:sz w:val="18"/>
          <w:szCs w:val="18"/>
        </w:rPr>
        <w:t>请仔细阅读《</w:t>
      </w:r>
      <w:r>
        <w:rPr>
          <w:rFonts w:hint="eastAsia" w:ascii="宋体" w:hAnsi="宋体"/>
          <w:sz w:val="18"/>
          <w:szCs w:val="18"/>
        </w:rPr>
        <w:t>投资</w:t>
      </w:r>
      <w:r>
        <w:rPr>
          <w:rFonts w:ascii="宋体" w:hAnsi="宋体"/>
          <w:sz w:val="18"/>
          <w:szCs w:val="18"/>
        </w:rPr>
        <w:t>协议书》、《产品说明书》、</w:t>
      </w:r>
      <w:r>
        <w:rPr>
          <w:rFonts w:hint="eastAsia" w:ascii="宋体" w:hAnsi="宋体"/>
          <w:sz w:val="18"/>
          <w:szCs w:val="18"/>
        </w:rPr>
        <w:t>《（代理）销售</w:t>
      </w:r>
      <w:r>
        <w:rPr>
          <w:rFonts w:ascii="宋体" w:hAnsi="宋体"/>
          <w:sz w:val="18"/>
          <w:szCs w:val="18"/>
        </w:rPr>
        <w:t>协议书</w:t>
      </w:r>
      <w:r>
        <w:rPr>
          <w:rFonts w:hint="eastAsia" w:ascii="宋体" w:hAnsi="宋体"/>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pPr>
        <w:ind w:firstLine="360" w:firstLineChars="200"/>
        <w:rPr>
          <w:rFonts w:ascii="宋体" w:hAnsi="宋体"/>
          <w:sz w:val="18"/>
          <w:szCs w:val="18"/>
        </w:rPr>
      </w:pPr>
      <w:r>
        <w:rPr>
          <w:rFonts w:hint="eastAsia" w:ascii="宋体" w:hAnsi="宋体"/>
          <w:sz w:val="18"/>
          <w:szCs w:val="18"/>
        </w:rPr>
        <w:t>（四）销售机构营业网点或电子银行（包括但不限于网上银行、电话银行和手机银行）均可办理理财产品的购买手续，具体以代销机构情况为准。若产品管理人根据产品风险等级和市场情况确定发售渠道的，代销机构将按产品管理人要求执行。</w:t>
      </w:r>
    </w:p>
    <w:p>
      <w:pPr>
        <w:spacing w:line="280" w:lineRule="atLeast"/>
        <w:ind w:firstLine="361" w:firstLineChars="200"/>
        <w:rPr>
          <w:rFonts w:ascii="宋体" w:hAnsi="宋体"/>
          <w:b/>
          <w:sz w:val="18"/>
          <w:szCs w:val="18"/>
        </w:rPr>
      </w:pPr>
      <w:r>
        <w:rPr>
          <w:rFonts w:hint="eastAsia" w:ascii="宋体" w:hAnsi="宋体"/>
          <w:b/>
          <w:sz w:val="18"/>
          <w:szCs w:val="18"/>
        </w:rPr>
        <w:t>二、投资者风险承受能力与产品风险评级</w:t>
      </w:r>
    </w:p>
    <w:p>
      <w:pPr>
        <w:spacing w:line="280" w:lineRule="atLeast"/>
        <w:ind w:firstLine="360" w:firstLineChars="200"/>
        <w:rPr>
          <w:rFonts w:ascii="宋体" w:hAnsi="宋体"/>
          <w:sz w:val="18"/>
          <w:szCs w:val="18"/>
        </w:rPr>
      </w:pPr>
      <w:r>
        <w:rPr>
          <w:rFonts w:hint="eastAsia" w:ascii="宋体" w:hAnsi="宋体"/>
          <w:sz w:val="18"/>
          <w:szCs w:val="18"/>
        </w:rPr>
        <w:t>鉴于您为金融同业客户，销售机构暂不对您进行风险承受能力评估，请您根据您自身的</w:t>
      </w:r>
      <w:r>
        <w:rPr>
          <w:rFonts w:ascii="宋体" w:hAnsi="宋体"/>
          <w:sz w:val="18"/>
          <w:szCs w:val="18"/>
        </w:rPr>
        <w:t>风险承受能力购买</w:t>
      </w:r>
      <w:r>
        <w:rPr>
          <w:rFonts w:hint="eastAsia" w:ascii="宋体" w:hAnsi="宋体"/>
          <w:sz w:val="18"/>
          <w:szCs w:val="18"/>
        </w:rPr>
        <w:t>产品风险评级适合您的</w:t>
      </w:r>
      <w:r>
        <w:rPr>
          <w:rFonts w:ascii="宋体" w:hAnsi="宋体"/>
          <w:sz w:val="18"/>
          <w:szCs w:val="18"/>
        </w:rPr>
        <w:t>理财产品</w:t>
      </w:r>
      <w:r>
        <w:rPr>
          <w:rFonts w:hint="eastAsia" w:ascii="宋体" w:hAnsi="宋体"/>
          <w:sz w:val="18"/>
          <w:szCs w:val="18"/>
        </w:rPr>
        <w:t>。</w:t>
      </w:r>
    </w:p>
    <w:p>
      <w:pPr>
        <w:ind w:firstLine="361" w:firstLineChars="200"/>
        <w:rPr>
          <w:rFonts w:ascii="宋体" w:hAnsi="宋体"/>
          <w:b/>
          <w:sz w:val="18"/>
          <w:szCs w:val="18"/>
        </w:rPr>
      </w:pPr>
      <w:r>
        <w:rPr>
          <w:rFonts w:hint="eastAsia" w:ascii="宋体" w:hAnsi="宋体"/>
          <w:b/>
          <w:sz w:val="18"/>
          <w:szCs w:val="18"/>
        </w:rPr>
        <w:t>三、关于理财产品的信息披露</w:t>
      </w:r>
    </w:p>
    <w:p>
      <w:pPr>
        <w:ind w:firstLine="360" w:firstLineChars="200"/>
        <w:rPr>
          <w:rFonts w:asciiTheme="minorEastAsia" w:hAnsiTheme="minorEastAsia"/>
          <w:sz w:val="18"/>
          <w:szCs w:val="18"/>
        </w:rPr>
      </w:pPr>
      <w:r>
        <w:rPr>
          <w:rFonts w:hint="eastAsia" w:ascii="宋体" w:hAnsi="宋体"/>
          <w:bCs/>
          <w:sz w:val="18"/>
          <w:szCs w:val="18"/>
        </w:rPr>
        <w:t>理财产品的信息披露将通过产品管理人或销售机构的门户网站、电子销售渠道或营业网点等进行。</w:t>
      </w:r>
      <w:r>
        <w:rPr>
          <w:rFonts w:asciiTheme="minorEastAsia" w:hAnsiTheme="minorEastAsia"/>
          <w:sz w:val="18"/>
          <w:szCs w:val="18"/>
        </w:rPr>
        <w:t>具体</w:t>
      </w:r>
      <w:r>
        <w:rPr>
          <w:rFonts w:hint="eastAsia" w:asciiTheme="minorEastAsia" w:hAnsiTheme="minorEastAsia"/>
          <w:sz w:val="18"/>
          <w:szCs w:val="18"/>
        </w:rPr>
        <w:t>信息披露的方式、渠道和频率等</w:t>
      </w:r>
      <w:r>
        <w:rPr>
          <w:rFonts w:asciiTheme="minorEastAsia" w:hAnsiTheme="minorEastAsia"/>
          <w:sz w:val="18"/>
          <w:szCs w:val="18"/>
        </w:rPr>
        <w:t>以《产品说明书》中“信息披露</w:t>
      </w:r>
      <w:r>
        <w:rPr>
          <w:rFonts w:hint="eastAsia" w:asciiTheme="minorEastAsia" w:hAnsiTheme="minorEastAsia"/>
          <w:sz w:val="18"/>
          <w:szCs w:val="18"/>
        </w:rPr>
        <w:t>”约定为准。</w:t>
      </w:r>
    </w:p>
    <w:p>
      <w:pPr>
        <w:ind w:firstLine="361" w:firstLineChars="200"/>
        <w:rPr>
          <w:rFonts w:asciiTheme="minorEastAsia" w:hAnsiTheme="minorEastAsia"/>
          <w:b/>
          <w:bCs/>
          <w:sz w:val="18"/>
          <w:szCs w:val="18"/>
        </w:rPr>
      </w:pPr>
      <w:r>
        <w:rPr>
          <w:rFonts w:hint="eastAsia" w:ascii="宋体" w:hAnsi="宋体"/>
          <w:b/>
          <w:bCs/>
          <w:sz w:val="18"/>
          <w:szCs w:val="18"/>
        </w:rPr>
        <w:t>四、关于投诉与建议</w:t>
      </w:r>
    </w:p>
    <w:p>
      <w:pPr>
        <w:spacing w:line="280" w:lineRule="atLeast"/>
        <w:ind w:firstLine="360" w:firstLineChars="200"/>
        <w:rPr>
          <w:rFonts w:ascii="宋体" w:hAnsi="宋体"/>
          <w:sz w:val="18"/>
          <w:szCs w:val="18"/>
        </w:rPr>
      </w:pPr>
      <w:r>
        <w:rPr>
          <w:rFonts w:hint="eastAsia" w:ascii="宋体" w:hAnsi="宋体"/>
          <w:sz w:val="18"/>
          <w:szCs w:val="18"/>
        </w:rPr>
        <w:t>（一）</w:t>
      </w:r>
      <w:r>
        <w:rPr>
          <w:rFonts w:hint="eastAsia" w:asciiTheme="minorEastAsia" w:hAnsiTheme="minorEastAsia"/>
          <w:sz w:val="18"/>
          <w:szCs w:val="18"/>
        </w:rPr>
        <w:t>您对本产品有任何意见或异议，可向产品管理人或</w:t>
      </w:r>
      <w:r>
        <w:rPr>
          <w:rFonts w:hint="eastAsia" w:ascii="宋体" w:hAnsi="宋体"/>
          <w:sz w:val="18"/>
          <w:szCs w:val="18"/>
        </w:rPr>
        <w:t>销售机构</w:t>
      </w:r>
      <w:r>
        <w:rPr>
          <w:rFonts w:hint="eastAsia" w:asciiTheme="minorEastAsia" w:hAnsiTheme="minorEastAsia"/>
          <w:sz w:val="18"/>
          <w:szCs w:val="18"/>
        </w:rPr>
        <w:t>反馈</w:t>
      </w:r>
      <w:r>
        <w:rPr>
          <w:rFonts w:hint="eastAsia" w:ascii="宋体" w:hAnsi="宋体"/>
          <w:sz w:val="18"/>
          <w:szCs w:val="18"/>
        </w:rPr>
        <w:t>，产品管理人或销售机构将由专人接听、记录您的意见或建议，并由各方协商共同解决。</w:t>
      </w:r>
    </w:p>
    <w:p>
      <w:pPr>
        <w:spacing w:line="280" w:lineRule="atLeast"/>
        <w:ind w:firstLine="360" w:firstLineChars="200"/>
        <w:rPr>
          <w:rFonts w:ascii="宋体" w:hAnsi="宋体"/>
          <w:sz w:val="18"/>
          <w:szCs w:val="18"/>
        </w:rPr>
      </w:pPr>
      <w:r>
        <w:rPr>
          <w:rFonts w:hint="eastAsia" w:ascii="宋体" w:hAnsi="宋体"/>
          <w:sz w:val="18"/>
          <w:szCs w:val="18"/>
        </w:rPr>
        <w:t>（二）联络方式：</w:t>
      </w:r>
    </w:p>
    <w:p>
      <w:pPr>
        <w:ind w:firstLine="360" w:firstLineChars="200"/>
        <w:rPr>
          <w:rFonts w:ascii="宋体" w:hAnsi="宋体"/>
          <w:sz w:val="18"/>
          <w:szCs w:val="18"/>
        </w:rPr>
      </w:pPr>
      <w:r>
        <w:rPr>
          <w:rFonts w:hint="eastAsia" w:ascii="宋体" w:hAnsi="宋体"/>
          <w:sz w:val="18"/>
          <w:szCs w:val="18"/>
        </w:rPr>
        <w:t>1、产品管理人：兴银理财有限责任公司</w:t>
      </w:r>
    </w:p>
    <w:p>
      <w:pPr>
        <w:ind w:firstLine="360" w:firstLineChars="200"/>
        <w:rPr>
          <w:rFonts w:ascii="宋体" w:hAnsi="宋体"/>
          <w:sz w:val="18"/>
          <w:szCs w:val="18"/>
        </w:rPr>
      </w:pPr>
      <w:r>
        <w:rPr>
          <w:rFonts w:hint="eastAsia" w:ascii="宋体" w:hAnsi="宋体"/>
          <w:sz w:val="18"/>
          <w:szCs w:val="18"/>
        </w:rPr>
        <w:t>客户服务热线：40015-95561。</w:t>
      </w:r>
    </w:p>
    <w:p>
      <w:pPr>
        <w:spacing w:line="280" w:lineRule="atLeast"/>
        <w:ind w:firstLine="360" w:firstLineChars="200"/>
        <w:rPr>
          <w:rFonts w:ascii="宋体" w:hAnsi="宋体"/>
          <w:sz w:val="18"/>
          <w:szCs w:val="18"/>
        </w:rPr>
      </w:pPr>
      <w:r>
        <w:rPr>
          <w:rFonts w:hint="eastAsia" w:ascii="宋体" w:hAnsi="宋体"/>
          <w:sz w:val="18"/>
          <w:szCs w:val="18"/>
        </w:rPr>
        <w:t>2、</w:t>
      </w:r>
      <w:r>
        <w:rPr>
          <w:rFonts w:ascii="宋体" w:hAnsi="宋体"/>
          <w:sz w:val="18"/>
          <w:szCs w:val="18"/>
        </w:rPr>
        <w:t>销售机构</w:t>
      </w:r>
      <w:r>
        <w:rPr>
          <w:rFonts w:hint="eastAsia" w:ascii="宋体" w:hAnsi="宋体"/>
          <w:sz w:val="18"/>
          <w:szCs w:val="18"/>
        </w:rPr>
        <w:t>：兴业银行股份有限公司</w:t>
      </w:r>
    </w:p>
    <w:p>
      <w:pPr>
        <w:spacing w:line="280" w:lineRule="atLeast"/>
        <w:ind w:firstLine="360" w:firstLineChars="200"/>
        <w:rPr>
          <w:rFonts w:ascii="宋体" w:hAnsi="宋体"/>
          <w:sz w:val="18"/>
          <w:szCs w:val="18"/>
        </w:rPr>
      </w:pPr>
      <w:r>
        <w:rPr>
          <w:rFonts w:hint="eastAsia" w:ascii="宋体" w:hAnsi="宋体"/>
          <w:sz w:val="18"/>
          <w:szCs w:val="18"/>
        </w:rPr>
        <w:t>兴业银行理财经理或兴业银行各营业网点。</w:t>
      </w:r>
    </w:p>
    <w:p>
      <w:pPr>
        <w:spacing w:line="280" w:lineRule="atLeast"/>
        <w:ind w:firstLine="360" w:firstLineChars="200"/>
        <w:rPr>
          <w:rFonts w:ascii="宋体" w:hAnsi="宋体"/>
          <w:sz w:val="18"/>
          <w:szCs w:val="18"/>
        </w:rPr>
      </w:pPr>
      <w:r>
        <w:rPr>
          <w:rFonts w:ascii="宋体" w:hAnsi="宋体"/>
          <w:sz w:val="18"/>
          <w:szCs w:val="18"/>
        </w:rPr>
        <w:t>兴业银行</w:t>
      </w:r>
      <w:r>
        <w:rPr>
          <w:rFonts w:hint="eastAsia" w:ascii="宋体" w:hAnsi="宋体"/>
          <w:sz w:val="18"/>
          <w:szCs w:val="18"/>
        </w:rPr>
        <w:t>客户投诉电话：【</w:t>
      </w:r>
      <w:r>
        <w:rPr>
          <w:rFonts w:asciiTheme="minorEastAsia" w:hAnsiTheme="minorEastAsia"/>
          <w:sz w:val="18"/>
          <w:szCs w:val="18"/>
        </w:rPr>
        <w:t>95561</w:t>
      </w:r>
      <w:r>
        <w:rPr>
          <w:rFonts w:hint="eastAsia" w:ascii="宋体" w:hAnsi="宋体"/>
          <w:sz w:val="18"/>
          <w:szCs w:val="18"/>
        </w:rPr>
        <w:t>】。</w:t>
      </w:r>
    </w:p>
    <w:p>
      <w:pPr>
        <w:spacing w:line="280" w:lineRule="atLeast"/>
        <w:ind w:firstLine="360" w:firstLineChars="200"/>
        <w:rPr>
          <w:rFonts w:ascii="宋体" w:hAnsi="宋体"/>
          <w:sz w:val="18"/>
          <w:szCs w:val="18"/>
        </w:rPr>
      </w:pPr>
      <w:r>
        <w:rPr>
          <w:rFonts w:hint="eastAsia" w:ascii="宋体" w:hAnsi="宋体"/>
          <w:sz w:val="18"/>
          <w:szCs w:val="18"/>
        </w:rPr>
        <w:t>兴业银行总行消费者投诉受理邮箱：【9</w:t>
      </w:r>
      <w:r>
        <w:rPr>
          <w:rFonts w:ascii="宋体" w:hAnsi="宋体"/>
          <w:sz w:val="18"/>
          <w:szCs w:val="18"/>
        </w:rPr>
        <w:t>5561</w:t>
      </w:r>
      <w:r>
        <w:rPr>
          <w:rFonts w:hint="eastAsia" w:ascii="宋体" w:hAnsi="宋体"/>
          <w:sz w:val="18"/>
          <w:szCs w:val="18"/>
        </w:rPr>
        <w:t>@</w:t>
      </w:r>
      <w:r>
        <w:rPr>
          <w:rFonts w:asciiTheme="minorEastAsia" w:hAnsiTheme="minorEastAsia"/>
          <w:sz w:val="18"/>
          <w:szCs w:val="18"/>
        </w:rPr>
        <w:t>cib.com.cn</w:t>
      </w:r>
      <w:r>
        <w:rPr>
          <w:rFonts w:hint="eastAsia" w:ascii="宋体" w:hAnsi="宋体"/>
          <w:sz w:val="18"/>
          <w:szCs w:val="18"/>
        </w:rPr>
        <w:t>】。</w:t>
      </w:r>
    </w:p>
    <w:p>
      <w:pPr>
        <w:ind w:firstLine="360" w:firstLineChars="200"/>
        <w:rPr>
          <w:rFonts w:ascii="宋体" w:hAnsi="宋体"/>
          <w:sz w:val="18"/>
          <w:szCs w:val="18"/>
        </w:rPr>
      </w:pPr>
      <w:r>
        <w:rPr>
          <w:rFonts w:hint="eastAsia" w:ascii="宋体" w:hAnsi="宋体"/>
          <w:sz w:val="18"/>
          <w:szCs w:val="18"/>
        </w:rPr>
        <w:t>3、销售机构：【】</w:t>
      </w:r>
    </w:p>
    <w:p>
      <w:pPr>
        <w:ind w:firstLine="360" w:firstLineChars="200"/>
        <w:rPr>
          <w:rFonts w:ascii="宋体" w:hAnsi="宋体"/>
          <w:sz w:val="18"/>
          <w:szCs w:val="18"/>
        </w:rPr>
      </w:pPr>
      <w:r>
        <w:rPr>
          <w:rFonts w:hint="eastAsia" w:ascii="宋体" w:hAnsi="宋体"/>
          <w:sz w:val="18"/>
          <w:szCs w:val="18"/>
        </w:rPr>
        <w:t>【】</w:t>
      </w:r>
    </w:p>
    <w:p/>
    <w:p/>
    <w:p/>
    <w:sectPr>
      <w:headerReference r:id="rId17" w:type="default"/>
      <w:footerReference r:id="rId18" w:type="default"/>
      <w:pgSz w:w="11906" w:h="16838"/>
      <w:pgMar w:top="1440" w:right="1800" w:bottom="1440" w:left="1800" w:header="567" w:footer="964"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pBdr>
        <w:top w:val="none" w:color="auto" w:sz="0" w:space="0"/>
        <w:left w:val="none" w:color="auto" w:sz="0" w:space="0"/>
        <w:bottom w:val="none" w:color="auto" w:sz="0" w:space="0"/>
        <w:right w:val="none" w:color="auto" w:sz="0" w:space="0"/>
        <w:between w:val="none" w:color="auto" w:sz="0" w:space="0"/>
      </w:pBdr>
      <w:spacing w:after="0" w:afterLines="0"/>
    </w:pPr>
    <w:r>
      <w:rPr>
        <w:rStyle w:val="13"/>
      </w:rPr>
      <w:fldChar w:fldCharType="begin"/>
    </w:r>
    <w:r>
      <w:rPr>
        <w:rStyle w:val="13"/>
      </w:rPr>
      <w:instrText xml:space="preserve"> PAGE  </w:instrText>
    </w:r>
    <w:r>
      <w:rPr>
        <w:rStyle w:val="13"/>
      </w:rPr>
      <w:fldChar w:fldCharType="separate"/>
    </w:r>
    <w:r>
      <w:rPr>
        <w:rStyle w:val="13"/>
      </w:rPr>
      <w:t>1</w:t>
    </w:r>
    <w:r>
      <w:rPr>
        <w:rStyle w:val="13"/>
      </w:rP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pBdr>
        <w:top w:val="none" w:color="auto" w:sz="0" w:space="0"/>
        <w:left w:val="none" w:color="auto" w:sz="0" w:space="0"/>
        <w:bottom w:val="none" w:color="auto" w:sz="0" w:space="0"/>
        <w:right w:val="none" w:color="auto" w:sz="0" w:space="0"/>
        <w:between w:val="none" w:color="auto" w:sz="0" w:space="0"/>
      </w:pBdr>
      <w:spacing w:after="0" w:afterLines="0"/>
    </w:pPr>
    <w:r>
      <w:rPr>
        <w:rStyle w:val="13"/>
      </w:rPr>
      <w:fldChar w:fldCharType="begin"/>
    </w:r>
    <w:r>
      <w:rPr>
        <w:rStyle w:val="13"/>
      </w:rPr>
      <w:instrText xml:space="preserve"> PAGE  </w:instrText>
    </w:r>
    <w:r>
      <w:rPr>
        <w:rStyle w:val="13"/>
      </w:rPr>
      <w:fldChar w:fldCharType="separate"/>
    </w:r>
    <w:r>
      <w:rPr>
        <w:rStyle w:val="13"/>
      </w:rPr>
      <w:t>1</w:t>
    </w:r>
    <w:r>
      <w:rPr>
        <w:rStyle w:val="13"/>
      </w:rPr>
      <w:fldChar w:fldCharType="end"/>
    </w:r>
  </w:p>
  <w:sdt>
    <w:sdtPr>
      <w:id w:val="-408925579"/>
      <w:showingPlcHdr/>
    </w:sdtPr>
    <w:sdtContent>
      <w:p>
        <w:pPr>
          <w:pStyle w:val="4"/>
          <w:jc w:val="center"/>
          <w:rPr>
            <w:rFonts w:ascii="黑体" w:hAnsi="黑体" w:eastAsia="黑体"/>
            <w:szCs w:val="18"/>
          </w:rPr>
        </w:pP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pBdr>
        <w:top w:val="none" w:color="auto" w:sz="0" w:space="0"/>
        <w:left w:val="none" w:color="auto" w:sz="0" w:space="0"/>
        <w:bottom w:val="none" w:color="auto" w:sz="0" w:space="0"/>
        <w:right w:val="none" w:color="auto" w:sz="0" w:space="0"/>
        <w:between w:val="none" w:color="auto" w:sz="0" w:space="0"/>
      </w:pBdr>
      <w:spacing w:after="0" w:afterLines="0"/>
    </w:pPr>
    <w:r>
      <w:rPr>
        <w:rStyle w:val="13"/>
      </w:rPr>
      <w:fldChar w:fldCharType="begin"/>
    </w:r>
    <w:r>
      <w:rPr>
        <w:rStyle w:val="13"/>
      </w:rPr>
      <w:instrText xml:space="preserve"> PAGE  </w:instrText>
    </w:r>
    <w:r>
      <w:rPr>
        <w:rStyle w:val="13"/>
      </w:rPr>
      <w:fldChar w:fldCharType="separate"/>
    </w:r>
    <w:r>
      <w:rPr>
        <w:rStyle w:val="13"/>
      </w:rPr>
      <w:t>1</w:t>
    </w:r>
    <w:r>
      <w:rPr>
        <w:rStyle w:val="13"/>
      </w:rPr>
      <w:fldChar w:fldCharType="end"/>
    </w:r>
  </w:p>
  <w:sdt>
    <w:sdtPr>
      <w:id w:val="23715647"/>
      <w:showingPlcHdr/>
    </w:sdtPr>
    <w:sdtContent>
      <w:p>
        <w:pPr>
          <w:pStyle w:val="4"/>
          <w:jc w:val="center"/>
        </w:pPr>
      </w:p>
    </w:sdtContent>
  </w:sdt>
  <w:p>
    <w:pPr>
      <w:pStyle w:val="3"/>
      <w:jc w:val="both"/>
      <w:rPr>
        <w:rFonts w:ascii="黑体" w:hAnsi="黑体" w:eastAsia="黑体"/>
        <w:szCs w:val="1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pBdr>
        <w:top w:val="none" w:color="auto" w:sz="0" w:space="0"/>
        <w:left w:val="none" w:color="auto" w:sz="0" w:space="0"/>
        <w:bottom w:val="none" w:color="auto" w:sz="0" w:space="0"/>
        <w:right w:val="none" w:color="auto" w:sz="0" w:space="0"/>
        <w:between w:val="none" w:color="auto" w:sz="0" w:space="0"/>
      </w:pBdr>
      <w:spacing w:after="0" w:afterLines="0"/>
    </w:pPr>
    <w:r>
      <w:rPr>
        <w:rStyle w:val="13"/>
      </w:rPr>
      <w:fldChar w:fldCharType="begin"/>
    </w:r>
    <w:r>
      <w:rPr>
        <w:rStyle w:val="13"/>
      </w:rPr>
      <w:instrText xml:space="preserve"> PAGE  </w:instrText>
    </w:r>
    <w:r>
      <w:rPr>
        <w:rStyle w:val="13"/>
      </w:rPr>
      <w:fldChar w:fldCharType="separate"/>
    </w:r>
    <w:r>
      <w:rPr>
        <w:rStyle w:val="13"/>
      </w:rPr>
      <w:t>62</w:t>
    </w:r>
    <w:r>
      <w:rPr>
        <w:rStyle w:val="13"/>
      </w:rPr>
      <w:fldChar w:fldCharType="end"/>
    </w:r>
  </w:p>
  <w:sdt>
    <w:sdtPr>
      <w:id w:val="-1184442659"/>
      <w:showingPlcHdr/>
    </w:sdtPr>
    <w:sdtContent>
      <w:p>
        <w:pPr>
          <w:pStyle w:val="4"/>
          <w:jc w:val="center"/>
        </w:pP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pBdr>
        <w:top w:val="none" w:color="auto" w:sz="0" w:space="0"/>
        <w:left w:val="none" w:color="auto" w:sz="0" w:space="0"/>
        <w:bottom w:val="none" w:color="auto" w:sz="0" w:space="0"/>
        <w:right w:val="none" w:color="auto" w:sz="0" w:space="0"/>
        <w:between w:val="none" w:color="auto" w:sz="0" w:space="0"/>
      </w:pBdr>
      <w:spacing w:after="0" w:afterLines="0"/>
    </w:pPr>
    <w:r>
      <w:rPr>
        <w:rStyle w:val="13"/>
      </w:rPr>
      <w:fldChar w:fldCharType="begin"/>
    </w:r>
    <w:r>
      <w:rPr>
        <w:rStyle w:val="13"/>
      </w:rPr>
      <w:instrText xml:space="preserve"> PAGE  </w:instrText>
    </w:r>
    <w:r>
      <w:rPr>
        <w:rStyle w:val="13"/>
      </w:rPr>
      <w:fldChar w:fldCharType="separate"/>
    </w:r>
    <w:r>
      <w:rPr>
        <w:rStyle w:val="13"/>
      </w:rPr>
      <w:t>68</w:t>
    </w:r>
    <w:r>
      <w:rPr>
        <w:rStyle w:val="13"/>
      </w:rPr>
      <w:fldChar w:fldCharType="end"/>
    </w:r>
  </w:p>
  <w:sdt>
    <w:sdtPr>
      <w:id w:val="1652492923"/>
      <w:showingPlcHdr/>
    </w:sdtPr>
    <w:sdtContent>
      <w:p>
        <w:pPr>
          <w:pStyle w:val="4"/>
          <w:jc w:val="center"/>
        </w:pPr>
      </w:p>
    </w:sdtContent>
  </w:sdt>
  <w:p>
    <w:pPr>
      <w:pStyle w:val="4"/>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pBdr>
        <w:top w:val="none" w:color="auto" w:sz="0" w:space="0"/>
        <w:left w:val="none" w:color="auto" w:sz="0" w:space="0"/>
        <w:bottom w:val="none" w:color="auto" w:sz="0" w:space="0"/>
        <w:right w:val="none" w:color="auto" w:sz="0" w:space="0"/>
        <w:between w:val="none" w:color="auto" w:sz="0" w:space="0"/>
      </w:pBdr>
      <w:spacing w:after="0" w:afterLines="0"/>
    </w:pPr>
    <w:r>
      <w:rPr>
        <w:rStyle w:val="13"/>
      </w:rPr>
      <w:fldChar w:fldCharType="begin"/>
    </w:r>
    <w:r>
      <w:rPr>
        <w:rStyle w:val="13"/>
      </w:rPr>
      <w:instrText xml:space="preserve"> PAGE  </w:instrText>
    </w:r>
    <w:r>
      <w:rPr>
        <w:rStyle w:val="13"/>
      </w:rPr>
      <w:fldChar w:fldCharType="separate"/>
    </w:r>
    <w:r>
      <w:rPr>
        <w:rStyle w:val="13"/>
      </w:rPr>
      <w:t>1</w:t>
    </w:r>
    <w:r>
      <w:rPr>
        <w:rStyle w:val="13"/>
      </w:rP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b/>
      </w:rPr>
    </w:pPr>
    <w:r>
      <w:rPr>
        <w:rFonts w:hint="eastAsia"/>
        <w:b/>
      </w:rPr>
      <w:t>投资协议书</w:t>
    </w:r>
  </w:p>
  <w:p>
    <w:pPr>
      <w:pStyle w:val="5"/>
      <w:jc w:val="right"/>
      <w:rPr>
        <w:b/>
      </w:rPr>
    </w:pPr>
    <w:r>
      <w:rPr>
        <w:rFonts w:hint="eastAsia"/>
        <w:b/>
      </w:rPr>
      <w:t>注：本文件由兴银理财有限责任公司统一编制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cs="Times New Roman"/>
        <w:b/>
        <w:szCs w:val="20"/>
      </w:rPr>
    </w:pPr>
    <w:r>
      <w:rPr>
        <w:rFonts w:hint="eastAsia"/>
      </w:rPr>
      <w:t xml:space="preserve"> </w:t>
    </w:r>
    <w:r>
      <w:rPr>
        <w:rFonts w:hint="eastAsia" w:ascii="Times New Roman" w:hAnsi="Times New Roman" w:cs="Times New Roman"/>
        <w:b/>
        <w:szCs w:val="20"/>
      </w:rPr>
      <w:t>产品说明书</w:t>
    </w:r>
  </w:p>
  <w:p>
    <w:pPr>
      <w:pStyle w:val="5"/>
      <w:jc w:val="right"/>
      <w:rPr>
        <w:rFonts w:ascii="Times New Roman" w:hAnsi="Times New Roman" w:cs="Times New Roman"/>
        <w:b/>
        <w:szCs w:val="20"/>
      </w:rPr>
    </w:pPr>
    <w:r>
      <w:rPr>
        <w:rFonts w:hint="eastAsia" w:ascii="Times New Roman" w:hAnsi="Times New Roman" w:cs="Times New Roman"/>
        <w:b/>
        <w:szCs w:val="20"/>
      </w:rPr>
      <w:t>注：本文件由兴银理财有限责任公司统一编制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rPr>
      <w:t xml:space="preserve">                             </w:t>
    </w:r>
    <w:r>
      <w:t xml:space="preserve">    </w:t>
    </w:r>
    <w:r>
      <w:rPr>
        <w:rFonts w:hint="eastAsia"/>
      </w:rPr>
      <w:t xml:space="preserve"> </w:t>
    </w:r>
    <w:r>
      <w:t xml:space="preserve">                    </w:t>
    </w:r>
    <w:r>
      <w:rPr>
        <w:rFonts w:hint="eastAsia" w:ascii="Times New Roman" w:hAnsi="Times New Roman" w:eastAsia="宋体" w:cs="Times New Roman"/>
        <w:b/>
        <w:szCs w:val="20"/>
      </w:rPr>
      <w:t>（代理）销售协议书</w:t>
    </w:r>
  </w:p>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5"/>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投资者权益须知</w:t>
    </w:r>
  </w:p>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A33D02"/>
    <w:rsid w:val="113A554B"/>
    <w:rsid w:val="7AC45E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120" w:after="120" w:line="360" w:lineRule="auto"/>
      <w:outlineLvl w:val="0"/>
    </w:pPr>
    <w:rPr>
      <w:rFonts w:ascii="宋体"/>
      <w:b/>
      <w:color w:val="000000"/>
      <w:kern w:val="0"/>
      <w:sz w:val="24"/>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99"/>
    <w:pPr>
      <w:widowControl/>
      <w:jc w:val="left"/>
    </w:pPr>
    <w:rPr>
      <w:rFonts w:ascii="宋体" w:hAnsi="宋体"/>
      <w:kern w:val="0"/>
      <w:sz w:val="24"/>
      <w:szCs w:val="24"/>
    </w:rPr>
  </w:style>
  <w:style w:type="paragraph" w:styleId="4">
    <w:name w:val="footer"/>
    <w:basedOn w:val="1"/>
    <w:qFormat/>
    <w:uiPriority w:val="99"/>
    <w:pPr>
      <w:tabs>
        <w:tab w:val="center" w:pos="4153"/>
        <w:tab w:val="right" w:pos="8306"/>
      </w:tabs>
      <w:snapToGrid w:val="0"/>
      <w:jc w:val="left"/>
    </w:pPr>
    <w:rPr>
      <w:sz w:val="18"/>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rPr>
  </w:style>
  <w:style w:type="paragraph" w:styleId="6">
    <w:name w:val="toc 1"/>
    <w:basedOn w:val="1"/>
    <w:next w:val="1"/>
    <w:qFormat/>
    <w:uiPriority w:val="39"/>
    <w:pPr>
      <w:tabs>
        <w:tab w:val="right" w:leader="dot" w:pos="8296"/>
      </w:tabs>
      <w:spacing w:line="360" w:lineRule="auto"/>
    </w:pPr>
  </w:style>
  <w:style w:type="paragraph" w:styleId="7">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8">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22"/>
    <w:rPr>
      <w:b/>
      <w:bCs/>
    </w:rPr>
  </w:style>
  <w:style w:type="character" w:styleId="13">
    <w:name w:val="page number"/>
    <w:basedOn w:val="11"/>
    <w:qFormat/>
    <w:uiPriority w:val="0"/>
  </w:style>
  <w:style w:type="character" w:styleId="14">
    <w:name w:val="Hyperlink"/>
    <w:basedOn w:val="11"/>
    <w:unhideWhenUsed/>
    <w:qFormat/>
    <w:uiPriority w:val="99"/>
    <w:rPr>
      <w:color w:val="0563C1" w:themeColor="hyperlink"/>
      <w:u w:val="single"/>
      <w14:textFill>
        <w14:solidFill>
          <w14:schemeClr w14:val="hlink"/>
        </w14:solidFill>
      </w14:textFill>
    </w:rPr>
  </w:style>
  <w:style w:type="character" w:styleId="15">
    <w:name w:val="annotation reference"/>
    <w:qFormat/>
    <w:uiPriority w:val="99"/>
    <w:rPr>
      <w:sz w:val="21"/>
      <w:szCs w:val="21"/>
    </w:rPr>
  </w:style>
  <w:style w:type="paragraph" w:styleId="16">
    <w:name w:val="List Paragraph"/>
    <w:basedOn w:val="1"/>
    <w:qFormat/>
    <w:uiPriority w:val="0"/>
    <w:pPr>
      <w:ind w:firstLine="420" w:firstLineChars="200"/>
    </w:pPr>
  </w:style>
  <w:style w:type="paragraph" w:customStyle="1" w:styleId="1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paragraph" w:customStyle="1" w:styleId="18">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19">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2.jpeg"/><Relationship Id="rId20" Type="http://schemas.openxmlformats.org/officeDocument/2006/relationships/image" Target="media/image1.jpe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79</Pages>
  <Words>52821</Words>
  <Characters>53742</Characters>
  <Lines>0</Lines>
  <Paragraphs>0</Paragraphs>
  <TotalTime>3</TotalTime>
  <ScaleCrop>false</ScaleCrop>
  <LinksUpToDate>false</LinksUpToDate>
  <CharactersWithSpaces>54388</CharactersWithSpaces>
  <Application>WPS Office_11.8.2.10164_F1E327BC-269C-435d-A152-05C5408002CA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2024-10-12T03:48:00Z</dcterms:created>
  <dc:creator>cib</dc:creator>
  <cp:lastModifiedBy>黄立杰</cp:lastModifiedBy>
  <dcterms:modified xsi:type="dcterms:W3CDTF">2024-10-14T10:18:07Z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